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80544" w14:textId="2DA596B1" w:rsidR="0084271F" w:rsidRDefault="00B87349" w:rsidP="00C7309A">
      <w:r>
        <w:rPr>
          <w:noProof/>
        </w:rPr>
        <mc:AlternateContent>
          <mc:Choice Requires="wps">
            <w:drawing>
              <wp:anchor distT="0" distB="0" distL="114300" distR="114300" simplePos="0" relativeHeight="251658243" behindDoc="0" locked="0" layoutInCell="1" allowOverlap="1" wp14:anchorId="4492C2CB" wp14:editId="60A4F7F3">
                <wp:simplePos x="0" y="0"/>
                <wp:positionH relativeFrom="column">
                  <wp:posOffset>4984674</wp:posOffset>
                </wp:positionH>
                <wp:positionV relativeFrom="paragraph">
                  <wp:posOffset>-1169063</wp:posOffset>
                </wp:positionV>
                <wp:extent cx="921224" cy="293426"/>
                <wp:effectExtent l="0" t="0" r="12700" b="11430"/>
                <wp:wrapNone/>
                <wp:docPr id="1326974119" name="Text Box 1"/>
                <wp:cNvGraphicFramePr/>
                <a:graphic xmlns:a="http://schemas.openxmlformats.org/drawingml/2006/main">
                  <a:graphicData uri="http://schemas.microsoft.com/office/word/2010/wordprocessingShape">
                    <wps:wsp>
                      <wps:cNvSpPr txBox="1"/>
                      <wps:spPr>
                        <a:xfrm>
                          <a:off x="0" y="0"/>
                          <a:ext cx="921224" cy="293426"/>
                        </a:xfrm>
                        <a:prstGeom prst="rect">
                          <a:avLst/>
                        </a:prstGeom>
                        <a:solidFill>
                          <a:schemeClr val="lt1"/>
                        </a:solidFill>
                        <a:ln w="6350">
                          <a:solidFill>
                            <a:prstClr val="black"/>
                          </a:solidFill>
                        </a:ln>
                      </wps:spPr>
                      <wps:txbx>
                        <w:txbxContent>
                          <w:p w14:paraId="7E75584A" w14:textId="1FD6999E" w:rsidR="00B87349" w:rsidRDefault="00B87349" w:rsidP="00B87349">
                            <w:pPr>
                              <w:jc w:val="center"/>
                            </w:pPr>
                            <w:r>
                              <w:t>Annex</w:t>
                            </w:r>
                            <w:r w:rsidR="00BC708D">
                              <w:t xml:space="preserve"> </w:t>
                            </w:r>
                            <w:r w:rsidR="007A1D07">
                              <w:t>B</w:t>
                            </w:r>
                            <w:r w:rsidR="00AF74F0">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92C2CB" id="_x0000_t202" coordsize="21600,21600" o:spt="202" path="m,l,21600r21600,l21600,xe">
                <v:stroke joinstyle="miter"/>
                <v:path gradientshapeok="t" o:connecttype="rect"/>
              </v:shapetype>
              <v:shape id="Text Box 1" o:spid="_x0000_s1026" type="#_x0000_t202" style="position:absolute;left:0;text-align:left;margin-left:392.5pt;margin-top:-92.05pt;width:72.55pt;height:23.1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" fillcolor="white [3201]" strokeweight=".5pt">
                <v:textbox>
                  <w:txbxContent>
                    <w:p w14:paraId="7E75584A" w14:textId="1FD6999E" w:rsidR="00B87349" w:rsidRDefault="00B87349" w:rsidP="00B87349">
                      <w:pPr>
                        <w:jc w:val="center"/>
                      </w:pPr>
                      <w:r>
                        <w:t>Annex</w:t>
                      </w:r>
                      <w:r w:rsidR="00BC708D">
                        <w:t xml:space="preserve"> </w:t>
                      </w:r>
                      <w:r w:rsidR="007A1D07">
                        <w:t>B</w:t>
                      </w:r>
                      <w:r w:rsidR="00AF74F0">
                        <w:t>5</w:t>
                      </w:r>
                    </w:p>
                  </w:txbxContent>
                </v:textbox>
              </v:shape>
            </w:pict>
          </mc:Fallback>
        </mc:AlternateContent>
      </w:r>
      <w:r w:rsidR="0084271F">
        <w:rPr>
          <w:noProof/>
        </w:rPr>
        <mc:AlternateContent>
          <mc:Choice Requires="wps">
            <w:drawing>
              <wp:anchor distT="45720" distB="45720" distL="114300" distR="114300" simplePos="0" relativeHeight="251658241" behindDoc="0" locked="0" layoutInCell="1" allowOverlap="1" wp14:anchorId="6BC498B4" wp14:editId="7DB54E0D">
                <wp:simplePos x="0" y="0"/>
                <wp:positionH relativeFrom="column">
                  <wp:posOffset>830580</wp:posOffset>
                </wp:positionH>
                <wp:positionV relativeFrom="paragraph">
                  <wp:posOffset>1488440</wp:posOffset>
                </wp:positionV>
                <wp:extent cx="4630420" cy="4586605"/>
                <wp:effectExtent l="0" t="0" r="0" b="444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0420" cy="4586605"/>
                        </a:xfrm>
                        <a:prstGeom prst="rect">
                          <a:avLst/>
                        </a:prstGeom>
                        <a:noFill/>
                        <a:ln w="9525">
                          <a:noFill/>
                          <a:miter lim="800000"/>
                          <a:headEnd/>
                          <a:tailEnd/>
                        </a:ln>
                      </wps:spPr>
                      <wps:txbx>
                        <w:txbxContent>
                          <w:p w14:paraId="73E18F2F" w14:textId="77777777" w:rsidR="009313AA" w:rsidRDefault="008D0C5F" w:rsidP="0084271F">
                            <w:pPr>
                              <w:jc w:val="left"/>
                              <w:rPr>
                                <w:b/>
                                <w:caps/>
                                <w:color w:val="FFFFFF" w:themeColor="background1"/>
                                <w:sz w:val="52"/>
                                <w:szCs w:val="52"/>
                              </w:rPr>
                            </w:pPr>
                            <w:r>
                              <w:rPr>
                                <w:b/>
                                <w:caps/>
                                <w:color w:val="FFFFFF" w:themeColor="background1"/>
                                <w:sz w:val="52"/>
                                <w:szCs w:val="52"/>
                              </w:rPr>
                              <w:t>JSE Clear</w:t>
                            </w:r>
                            <w:r w:rsidR="00246565">
                              <w:rPr>
                                <w:b/>
                                <w:caps/>
                                <w:color w:val="FFFFFF" w:themeColor="background1"/>
                                <w:sz w:val="52"/>
                                <w:szCs w:val="52"/>
                              </w:rPr>
                              <w:t xml:space="preserve"> liquidity policy</w:t>
                            </w:r>
                          </w:p>
                          <w:p w14:paraId="2F3EF5E3" w14:textId="77777777" w:rsidR="009313AA" w:rsidRPr="00995011" w:rsidRDefault="009313AA" w:rsidP="0084271F">
                            <w:pPr>
                              <w:jc w:val="left"/>
                              <w:rPr>
                                <w:b/>
                                <w:caps/>
                                <w:color w:val="FFFFFF" w:themeColor="background1"/>
                                <w:sz w:val="52"/>
                                <w:szCs w:val="52"/>
                              </w:rPr>
                            </w:pPr>
                          </w:p>
                          <w:p w14:paraId="4B3229BC" w14:textId="1D0A318C" w:rsidR="009313AA" w:rsidRPr="00CB6022" w:rsidRDefault="00104A6B" w:rsidP="0084271F">
                            <w:pPr>
                              <w:jc w:val="left"/>
                              <w:rPr>
                                <w:color w:val="FFFFFF"/>
                                <w:sz w:val="36"/>
                                <w:szCs w:val="36"/>
                              </w:rPr>
                            </w:pPr>
                            <w:r>
                              <w:rPr>
                                <w:color w:val="FFFFFF"/>
                                <w:sz w:val="36"/>
                                <w:szCs w:val="36"/>
                              </w:rPr>
                              <w:t xml:space="preserve">October </w:t>
                            </w:r>
                            <w:r w:rsidR="00137F21">
                              <w:rPr>
                                <w:color w:val="FFFFFF"/>
                                <w:sz w:val="36"/>
                                <w:szCs w:val="36"/>
                              </w:rPr>
                              <w:t xml:space="preserve">2025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C498B4" id="Text Box 2" o:spid="_x0000_s1027" type="#_x0000_t202" style="position:absolute;left:0;text-align:left;margin-left:65.4pt;margin-top:117.2pt;width:364.6pt;height:361.1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" filled="f" stroked="f">
                <v:textbox>
                  <w:txbxContent>
                    <w:p w14:paraId="73E18F2F" w14:textId="77777777" w:rsidR="009313AA" w:rsidRDefault="008D0C5F" w:rsidP="0084271F">
                      <w:pPr>
                        <w:jc w:val="left"/>
                        <w:rPr>
                          <w:b/>
                          <w:caps/>
                          <w:color w:val="FFFFFF" w:themeColor="background1"/>
                          <w:sz w:val="52"/>
                          <w:szCs w:val="52"/>
                        </w:rPr>
                      </w:pPr>
                      <w:r>
                        <w:rPr>
                          <w:b/>
                          <w:caps/>
                          <w:color w:val="FFFFFF" w:themeColor="background1"/>
                          <w:sz w:val="52"/>
                          <w:szCs w:val="52"/>
                        </w:rPr>
                        <w:t>JSE Clear</w:t>
                      </w:r>
                      <w:r w:rsidR="00246565">
                        <w:rPr>
                          <w:b/>
                          <w:caps/>
                          <w:color w:val="FFFFFF" w:themeColor="background1"/>
                          <w:sz w:val="52"/>
                          <w:szCs w:val="52"/>
                        </w:rPr>
                        <w:t xml:space="preserve"> liquidity policy</w:t>
                      </w:r>
                    </w:p>
                    <w:p w14:paraId="2F3EF5E3" w14:textId="77777777" w:rsidR="009313AA" w:rsidRPr="00995011" w:rsidRDefault="009313AA" w:rsidP="0084271F">
                      <w:pPr>
                        <w:jc w:val="left"/>
                        <w:rPr>
                          <w:b/>
                          <w:caps/>
                          <w:color w:val="FFFFFF" w:themeColor="background1"/>
                          <w:sz w:val="52"/>
                          <w:szCs w:val="52"/>
                        </w:rPr>
                      </w:pPr>
                    </w:p>
                    <w:p w14:paraId="4B3229BC" w14:textId="1D0A318C" w:rsidR="009313AA" w:rsidRPr="00CB6022" w:rsidRDefault="00104A6B" w:rsidP="0084271F">
                      <w:pPr>
                        <w:jc w:val="left"/>
                        <w:rPr>
                          <w:color w:val="FFFFFF"/>
                          <w:sz w:val="36"/>
                          <w:szCs w:val="36"/>
                        </w:rPr>
                      </w:pPr>
                      <w:r>
                        <w:rPr>
                          <w:color w:val="FFFFFF"/>
                          <w:sz w:val="36"/>
                          <w:szCs w:val="36"/>
                        </w:rPr>
                        <w:t xml:space="preserve">October </w:t>
                      </w:r>
                      <w:r w:rsidR="00137F21">
                        <w:rPr>
                          <w:color w:val="FFFFFF"/>
                          <w:sz w:val="36"/>
                          <w:szCs w:val="36"/>
                        </w:rPr>
                        <w:t xml:space="preserve">2025  </w:t>
                      </w:r>
                    </w:p>
                  </w:txbxContent>
                </v:textbox>
                <w10:wrap type="square"/>
              </v:shape>
            </w:pict>
          </mc:Fallback>
        </mc:AlternateContent>
      </w:r>
      <w:r w:rsidR="00180C7D">
        <w:t xml:space="preserve"> </w:t>
      </w:r>
    </w:p>
    <w:p w14:paraId="153EF253" w14:textId="2E3F9A5B" w:rsidR="0084271F" w:rsidRDefault="00942C2C" w:rsidP="00C7309A">
      <w:pPr>
        <w:sectPr w:rsidR="0084271F" w:rsidSect="00A6397B">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418" w:left="1134" w:header="737" w:footer="170" w:gutter="0"/>
          <w:cols w:space="708"/>
          <w:titlePg/>
          <w:docGrid w:linePitch="360"/>
        </w:sectPr>
      </w:pPr>
      <w:r>
        <w:rPr>
          <w:rFonts w:ascii="Times New Roman" w:eastAsia="Calibri" w:hAnsi="Times New Roman"/>
          <w:noProof/>
          <w:color w:val="auto"/>
          <w:sz w:val="24"/>
        </w:rPr>
        <mc:AlternateContent>
          <mc:Choice Requires="wps">
            <w:drawing>
              <wp:anchor distT="0" distB="0" distL="114300" distR="114300" simplePos="0" relativeHeight="251658242" behindDoc="0" locked="0" layoutInCell="1" allowOverlap="1" wp14:anchorId="3DA10B46" wp14:editId="48E10055">
                <wp:simplePos x="0" y="0"/>
                <wp:positionH relativeFrom="column">
                  <wp:posOffset>3830781</wp:posOffset>
                </wp:positionH>
                <wp:positionV relativeFrom="paragraph">
                  <wp:posOffset>8319655</wp:posOffset>
                </wp:positionV>
                <wp:extent cx="2071370" cy="276860"/>
                <wp:effectExtent l="0" t="0" r="24130" b="27940"/>
                <wp:wrapNone/>
                <wp:docPr id="3" name="Text Box 3"/>
                <wp:cNvGraphicFramePr/>
                <a:graphic xmlns:a="http://schemas.openxmlformats.org/drawingml/2006/main">
                  <a:graphicData uri="http://schemas.microsoft.com/office/word/2010/wordprocessingShape">
                    <wps:wsp>
                      <wps:cNvSpPr txBox="1"/>
                      <wps:spPr>
                        <a:xfrm>
                          <a:off x="0" y="0"/>
                          <a:ext cx="2071370" cy="276860"/>
                        </a:xfrm>
                        <a:prstGeom prst="rect">
                          <a:avLst/>
                        </a:prstGeom>
                        <a:solidFill>
                          <a:schemeClr val="lt1"/>
                        </a:solidFill>
                        <a:ln w="6350">
                          <a:solidFill>
                            <a:prstClr val="black"/>
                          </a:solidFill>
                        </a:ln>
                      </wps:spPr>
                      <wps:txbx>
                        <w:txbxContent>
                          <w:p w14:paraId="663A4D20" w14:textId="77777777" w:rsidR="00942C2C" w:rsidRDefault="00942C2C" w:rsidP="00942C2C">
                            <w:pPr>
                              <w:jc w:val="center"/>
                              <w:rPr>
                                <w:i/>
                                <w:color w:val="FF0000"/>
                              </w:rPr>
                            </w:pPr>
                            <w:r>
                              <w:rPr>
                                <w:i/>
                                <w:color w:val="FF0000"/>
                              </w:rPr>
                              <w:t>Confidential – not for distribution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DA10B46" id="Text Box 3" o:spid="_x0000_s1028" type="#_x0000_t202" style="position:absolute;left:0;text-align:left;margin-left:301.65pt;margin-top:655.1pt;width:163.1pt;height:2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" fillcolor="white [3201]" strokeweight=".5pt">
                <v:textbox>
                  <w:txbxContent>
                    <w:p w14:paraId="663A4D20" w14:textId="77777777" w:rsidR="00942C2C" w:rsidRDefault="00942C2C" w:rsidP="00942C2C">
                      <w:pPr>
                        <w:jc w:val="center"/>
                        <w:rPr>
                          <w:i/>
                          <w:color w:val="FF0000"/>
                        </w:rPr>
                      </w:pPr>
                      <w:r>
                        <w:rPr>
                          <w:i/>
                          <w:color w:val="FF0000"/>
                        </w:rPr>
                        <w:t>Confidential – not for distribution</w:t>
                      </w:r>
                    </w:p>
                  </w:txbxContent>
                </v:textbox>
              </v:shape>
            </w:pict>
          </mc:Fallback>
        </mc:AlternateContent>
      </w:r>
      <w:r w:rsidR="00406F71">
        <w:rPr>
          <w:noProof/>
        </w:rPr>
        <mc:AlternateContent>
          <mc:Choice Requires="wpg">
            <w:drawing>
              <wp:anchor distT="0" distB="0" distL="114300" distR="114300" simplePos="0" relativeHeight="251658240" behindDoc="0" locked="0" layoutInCell="1" allowOverlap="1" wp14:anchorId="112406B1" wp14:editId="2E216395">
                <wp:simplePos x="0" y="0"/>
                <wp:positionH relativeFrom="column">
                  <wp:posOffset>126365</wp:posOffset>
                </wp:positionH>
                <wp:positionV relativeFrom="paragraph">
                  <wp:posOffset>118110</wp:posOffset>
                </wp:positionV>
                <wp:extent cx="5798185" cy="7935595"/>
                <wp:effectExtent l="0" t="0" r="12065" b="4635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7935595"/>
                          <a:chOff x="0" y="0"/>
                          <a:chExt cx="5864225" cy="7936155"/>
                        </a:xfrm>
                      </wpg:grpSpPr>
                      <wps:wsp>
                        <wps:cNvPr id="9" name="Rectangle 4"/>
                        <wps:cNvSpPr/>
                        <wps:spPr>
                          <a:xfrm>
                            <a:off x="0" y="0"/>
                            <a:ext cx="5864225" cy="298450"/>
                          </a:xfrm>
                          <a:prstGeom prst="rect">
                            <a:avLst/>
                          </a:prstGeom>
                          <a:solidFill>
                            <a:srgbClr val="000000"/>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reeform 7"/>
                        <wps:cNvSpPr/>
                        <wps:spPr>
                          <a:xfrm>
                            <a:off x="0" y="295835"/>
                            <a:ext cx="5864225" cy="7640320"/>
                          </a:xfrm>
                          <a:custGeom>
                            <a:avLst/>
                            <a:gdLst>
                              <a:gd name="connsiteX0" fmla="*/ 0 w 5864469"/>
                              <a:gd name="connsiteY0" fmla="*/ 0 h 7640516"/>
                              <a:gd name="connsiteX1" fmla="*/ 5864469 w 5864469"/>
                              <a:gd name="connsiteY1" fmla="*/ 0 h 7640516"/>
                              <a:gd name="connsiteX2" fmla="*/ 5864469 w 5864469"/>
                              <a:gd name="connsiteY2" fmla="*/ 7341578 h 7640516"/>
                              <a:gd name="connsiteX3" fmla="*/ 888022 w 5864469"/>
                              <a:gd name="connsiteY3" fmla="*/ 7341578 h 7640516"/>
                              <a:gd name="connsiteX4" fmla="*/ 1 w 5864469"/>
                              <a:gd name="connsiteY4" fmla="*/ 7640516 h 7640516"/>
                              <a:gd name="connsiteX5" fmla="*/ 1 w 5864469"/>
                              <a:gd name="connsiteY5" fmla="*/ 7341578 h 7640516"/>
                              <a:gd name="connsiteX6" fmla="*/ 0 w 5864469"/>
                              <a:gd name="connsiteY6" fmla="*/ 7341578 h 76405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864469" h="7640516">
                                <a:moveTo>
                                  <a:pt x="0" y="0"/>
                                </a:moveTo>
                                <a:lnTo>
                                  <a:pt x="5864469" y="0"/>
                                </a:lnTo>
                                <a:lnTo>
                                  <a:pt x="5864469" y="7341578"/>
                                </a:lnTo>
                                <a:lnTo>
                                  <a:pt x="888022" y="7341578"/>
                                </a:lnTo>
                                <a:lnTo>
                                  <a:pt x="1" y="7640516"/>
                                </a:lnTo>
                                <a:lnTo>
                                  <a:pt x="1" y="7341578"/>
                                </a:lnTo>
                                <a:lnTo>
                                  <a:pt x="0" y="7341578"/>
                                </a:lnTo>
                                <a:close/>
                              </a:path>
                            </a:pathLst>
                          </a:custGeom>
                          <a:solidFill>
                            <a:srgbClr val="94D600"/>
                          </a:solidFill>
                          <a:ln w="12700" cap="flat" cmpd="sng" algn="ctr">
                            <a:solidFill>
                              <a:srgbClr val="94D6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3EA21FE0" id="Group 11" o:spid="_x0000_s1026" style="position:absolute;margin-left:9.95pt;margin-top:9.3pt;width:456.55pt;height:624.85pt;z-index:251658240;mso-width-relative:margin" coordsize="58642,79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">
                <v:rect id="Rectangle 4" o:spid="_x0000_s1027" style="position:absolute;width:58642;height:2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" fillcolor="black" strokeweight="1pt"/>
                <v:shape id="Freeform 7" o:spid="_x0000_s1028" style="position:absolute;top:2958;width:58642;height:76403;visibility:visible;mso-wrap-style:square;v-text-anchor:middle" coordsize="5864469,7640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" path="m,l5864469,r,7341578l888022,7341578,1,7640516r,-298938l,7341578,,xe" fillcolor="#94d600" strokecolor="#94d600" strokeweight="1pt">
                  <v:stroke joinstyle="miter"/>
                  <v:path arrowok="t" o:connecttype="custom" o:connectlocs="0,0;5864225,0;5864225,7341390;887985,7341390;1,7640320;1,7341390;0,7341390" o:connectangles="0,0,0,0,0,0,0"/>
                </v:shape>
              </v:group>
            </w:pict>
          </mc:Fallback>
        </mc:AlternateContent>
      </w:r>
    </w:p>
    <w:p w14:paraId="2C62C4D9" w14:textId="2D42A9D6" w:rsidR="00C7309A" w:rsidRPr="00C7309A" w:rsidRDefault="008318DE" w:rsidP="00C7309A">
      <w:pPr>
        <w:pStyle w:val="TOCHeading"/>
        <w:spacing w:line="288" w:lineRule="auto"/>
        <w:jc w:val="both"/>
        <w:rPr>
          <w:rFonts w:asciiTheme="minorHAnsi" w:hAnsiTheme="minorHAnsi" w:cs="Arial"/>
          <w:color w:val="auto"/>
          <w:sz w:val="20"/>
          <w:szCs w:val="20"/>
        </w:rPr>
      </w:pPr>
      <w:r>
        <w:rPr>
          <w:rFonts w:asciiTheme="minorHAnsi" w:hAnsiTheme="minorHAnsi" w:cs="Arial"/>
          <w:color w:val="auto"/>
          <w:sz w:val="20"/>
          <w:szCs w:val="20"/>
        </w:rPr>
        <w:lastRenderedPageBreak/>
        <w:t>T</w:t>
      </w:r>
      <w:r w:rsidR="00C7309A" w:rsidRPr="00C7309A">
        <w:rPr>
          <w:rFonts w:asciiTheme="minorHAnsi" w:hAnsiTheme="minorHAnsi" w:cs="Arial"/>
          <w:color w:val="auto"/>
          <w:sz w:val="20"/>
          <w:szCs w:val="20"/>
        </w:rPr>
        <w:t>ABLE OF CONTENTS</w:t>
      </w:r>
    </w:p>
    <w:p w14:paraId="6426888E" w14:textId="77777777" w:rsidR="00C7309A" w:rsidRPr="00814603" w:rsidRDefault="00C7309A" w:rsidP="00C7309A">
      <w:pPr>
        <w:rPr>
          <w:rFonts w:asciiTheme="minorHAnsi" w:hAnsiTheme="minorHAnsi"/>
          <w:sz w:val="18"/>
          <w:szCs w:val="18"/>
          <w:lang w:eastAsia="ja-JP"/>
        </w:rPr>
      </w:pPr>
    </w:p>
    <w:p w14:paraId="055CEBD0" w14:textId="685CA0D7" w:rsidR="00A95E76" w:rsidRPr="00814603" w:rsidRDefault="00F60F5F">
      <w:pPr>
        <w:pStyle w:val="TOC2"/>
        <w:rPr>
          <w:rFonts w:asciiTheme="minorHAnsi" w:eastAsiaTheme="minorEastAsia" w:hAnsiTheme="minorHAnsi" w:cstheme="minorBidi"/>
          <w:noProof/>
          <w:color w:val="auto"/>
          <w:kern w:val="2"/>
          <w:sz w:val="18"/>
          <w:szCs w:val="18"/>
          <w:lang w:val="en-ZA" w:eastAsia="en-ZA"/>
          <w14:ligatures w14:val="standardContextual"/>
        </w:rPr>
      </w:pPr>
      <w:r w:rsidRPr="00814603">
        <w:rPr>
          <w:sz w:val="18"/>
          <w:szCs w:val="18"/>
        </w:rPr>
        <w:fldChar w:fldCharType="begin"/>
      </w:r>
      <w:r w:rsidRPr="00814603">
        <w:rPr>
          <w:sz w:val="18"/>
          <w:szCs w:val="18"/>
        </w:rPr>
        <w:instrText xml:space="preserve"> TOC \o "1-3" \h \z \u </w:instrText>
      </w:r>
      <w:r w:rsidRPr="00814603">
        <w:rPr>
          <w:sz w:val="18"/>
          <w:szCs w:val="18"/>
        </w:rPr>
        <w:fldChar w:fldCharType="separate"/>
      </w:r>
      <w:hyperlink w:anchor="_Toc209521888" w:history="1">
        <w:r w:rsidR="00A95E76" w:rsidRPr="00814603">
          <w:rPr>
            <w:rStyle w:val="Hyperlink"/>
            <w:noProof/>
            <w:sz w:val="18"/>
            <w:szCs w:val="18"/>
          </w:rPr>
          <w:t>1.</w:t>
        </w:r>
        <w:r w:rsidR="00A95E76" w:rsidRPr="00814603">
          <w:rPr>
            <w:rFonts w:asciiTheme="minorHAnsi" w:eastAsiaTheme="minorEastAsia" w:hAnsiTheme="minorHAnsi" w:cstheme="minorBidi"/>
            <w:noProof/>
            <w:color w:val="auto"/>
            <w:kern w:val="2"/>
            <w:sz w:val="18"/>
            <w:szCs w:val="18"/>
            <w:lang w:val="en-ZA" w:eastAsia="en-ZA"/>
            <w14:ligatures w14:val="standardContextual"/>
          </w:rPr>
          <w:tab/>
        </w:r>
        <w:r w:rsidR="00A95E76" w:rsidRPr="00814603">
          <w:rPr>
            <w:rStyle w:val="Hyperlink"/>
            <w:noProof/>
            <w:sz w:val="18"/>
            <w:szCs w:val="18"/>
          </w:rPr>
          <w:t>VERSION CONTROL</w:t>
        </w:r>
        <w:r w:rsidR="00A95E76" w:rsidRPr="00814603">
          <w:rPr>
            <w:noProof/>
            <w:webHidden/>
            <w:sz w:val="18"/>
            <w:szCs w:val="18"/>
          </w:rPr>
          <w:tab/>
        </w:r>
        <w:r w:rsidR="00A95E76" w:rsidRPr="00814603">
          <w:rPr>
            <w:noProof/>
            <w:webHidden/>
            <w:sz w:val="18"/>
            <w:szCs w:val="18"/>
          </w:rPr>
          <w:fldChar w:fldCharType="begin"/>
        </w:r>
        <w:r w:rsidR="00A95E76" w:rsidRPr="00814603">
          <w:rPr>
            <w:noProof/>
            <w:webHidden/>
            <w:sz w:val="18"/>
            <w:szCs w:val="18"/>
          </w:rPr>
          <w:instrText xml:space="preserve"> PAGEREF _Toc209521888 \h </w:instrText>
        </w:r>
        <w:r w:rsidR="00A95E76" w:rsidRPr="00814603">
          <w:rPr>
            <w:noProof/>
            <w:webHidden/>
            <w:sz w:val="18"/>
            <w:szCs w:val="18"/>
          </w:rPr>
        </w:r>
        <w:r w:rsidR="00A95E76" w:rsidRPr="00814603">
          <w:rPr>
            <w:noProof/>
            <w:webHidden/>
            <w:sz w:val="18"/>
            <w:szCs w:val="18"/>
          </w:rPr>
          <w:fldChar w:fldCharType="separate"/>
        </w:r>
        <w:r w:rsidR="0013146E">
          <w:rPr>
            <w:noProof/>
            <w:webHidden/>
            <w:sz w:val="18"/>
            <w:szCs w:val="18"/>
          </w:rPr>
          <w:t>3</w:t>
        </w:r>
        <w:r w:rsidR="00A95E76" w:rsidRPr="00814603">
          <w:rPr>
            <w:noProof/>
            <w:webHidden/>
            <w:sz w:val="18"/>
            <w:szCs w:val="18"/>
          </w:rPr>
          <w:fldChar w:fldCharType="end"/>
        </w:r>
      </w:hyperlink>
    </w:p>
    <w:p w14:paraId="58CF2B74" w14:textId="4432CE44" w:rsidR="00A95E76" w:rsidRPr="00814603" w:rsidRDefault="00A95E76">
      <w:pPr>
        <w:pStyle w:val="TOC2"/>
        <w:rPr>
          <w:rFonts w:asciiTheme="minorHAnsi" w:eastAsiaTheme="minorEastAsia" w:hAnsiTheme="minorHAnsi" w:cstheme="minorBidi"/>
          <w:noProof/>
          <w:color w:val="auto"/>
          <w:kern w:val="2"/>
          <w:sz w:val="18"/>
          <w:szCs w:val="18"/>
          <w:lang w:val="en-ZA" w:eastAsia="en-ZA"/>
          <w14:ligatures w14:val="standardContextual"/>
        </w:rPr>
      </w:pPr>
      <w:hyperlink w:anchor="_Toc209521889" w:history="1">
        <w:r w:rsidRPr="00814603">
          <w:rPr>
            <w:rStyle w:val="Hyperlink"/>
            <w:noProof/>
            <w:sz w:val="18"/>
            <w:szCs w:val="18"/>
          </w:rPr>
          <w:t>2.</w:t>
        </w:r>
        <w:r w:rsidRPr="00814603">
          <w:rPr>
            <w:rFonts w:asciiTheme="minorHAnsi" w:eastAsiaTheme="minorEastAsia" w:hAnsiTheme="minorHAnsi" w:cstheme="minorBidi"/>
            <w:noProof/>
            <w:color w:val="auto"/>
            <w:kern w:val="2"/>
            <w:sz w:val="18"/>
            <w:szCs w:val="18"/>
            <w:lang w:val="en-ZA" w:eastAsia="en-ZA"/>
            <w14:ligatures w14:val="standardContextual"/>
          </w:rPr>
          <w:tab/>
        </w:r>
        <w:r w:rsidRPr="00814603">
          <w:rPr>
            <w:rStyle w:val="Hyperlink"/>
            <w:noProof/>
            <w:sz w:val="18"/>
            <w:szCs w:val="18"/>
          </w:rPr>
          <w:t>VERSION HISTORY</w:t>
        </w:r>
        <w:r w:rsidRPr="00814603">
          <w:rPr>
            <w:noProof/>
            <w:webHidden/>
            <w:sz w:val="18"/>
            <w:szCs w:val="18"/>
          </w:rPr>
          <w:tab/>
        </w:r>
        <w:r w:rsidRPr="00814603">
          <w:rPr>
            <w:noProof/>
            <w:webHidden/>
            <w:sz w:val="18"/>
            <w:szCs w:val="18"/>
          </w:rPr>
          <w:fldChar w:fldCharType="begin"/>
        </w:r>
        <w:r w:rsidRPr="00814603">
          <w:rPr>
            <w:noProof/>
            <w:webHidden/>
            <w:sz w:val="18"/>
            <w:szCs w:val="18"/>
          </w:rPr>
          <w:instrText xml:space="preserve"> PAGEREF _Toc209521889 \h </w:instrText>
        </w:r>
        <w:r w:rsidRPr="00814603">
          <w:rPr>
            <w:noProof/>
            <w:webHidden/>
            <w:sz w:val="18"/>
            <w:szCs w:val="18"/>
          </w:rPr>
        </w:r>
        <w:r w:rsidRPr="00814603">
          <w:rPr>
            <w:noProof/>
            <w:webHidden/>
            <w:sz w:val="18"/>
            <w:szCs w:val="18"/>
          </w:rPr>
          <w:fldChar w:fldCharType="separate"/>
        </w:r>
        <w:r w:rsidR="0013146E">
          <w:rPr>
            <w:noProof/>
            <w:webHidden/>
            <w:sz w:val="18"/>
            <w:szCs w:val="18"/>
          </w:rPr>
          <w:t>3</w:t>
        </w:r>
        <w:r w:rsidRPr="00814603">
          <w:rPr>
            <w:noProof/>
            <w:webHidden/>
            <w:sz w:val="18"/>
            <w:szCs w:val="18"/>
          </w:rPr>
          <w:fldChar w:fldCharType="end"/>
        </w:r>
      </w:hyperlink>
    </w:p>
    <w:p w14:paraId="1EC2F761" w14:textId="31F7E9AC" w:rsidR="00A95E76" w:rsidRPr="00814603" w:rsidRDefault="00A95E76">
      <w:pPr>
        <w:pStyle w:val="TOC2"/>
        <w:rPr>
          <w:rFonts w:asciiTheme="minorHAnsi" w:eastAsiaTheme="minorEastAsia" w:hAnsiTheme="minorHAnsi" w:cstheme="minorBidi"/>
          <w:noProof/>
          <w:color w:val="auto"/>
          <w:kern w:val="2"/>
          <w:sz w:val="18"/>
          <w:szCs w:val="18"/>
          <w:lang w:val="en-ZA" w:eastAsia="en-ZA"/>
          <w14:ligatures w14:val="standardContextual"/>
        </w:rPr>
      </w:pPr>
      <w:hyperlink w:anchor="_Toc209521890" w:history="1">
        <w:r w:rsidRPr="00814603">
          <w:rPr>
            <w:rStyle w:val="Hyperlink"/>
            <w:noProof/>
            <w:sz w:val="18"/>
            <w:szCs w:val="18"/>
          </w:rPr>
          <w:t>3.</w:t>
        </w:r>
        <w:r w:rsidRPr="00814603">
          <w:rPr>
            <w:rFonts w:asciiTheme="minorHAnsi" w:eastAsiaTheme="minorEastAsia" w:hAnsiTheme="minorHAnsi" w:cstheme="minorBidi"/>
            <w:noProof/>
            <w:color w:val="auto"/>
            <w:kern w:val="2"/>
            <w:sz w:val="18"/>
            <w:szCs w:val="18"/>
            <w:lang w:val="en-ZA" w:eastAsia="en-ZA"/>
            <w14:ligatures w14:val="standardContextual"/>
          </w:rPr>
          <w:tab/>
        </w:r>
        <w:r w:rsidRPr="00814603">
          <w:rPr>
            <w:rStyle w:val="Hyperlink"/>
            <w:noProof/>
            <w:sz w:val="18"/>
            <w:szCs w:val="18"/>
          </w:rPr>
          <w:t>INTRODUCTION</w:t>
        </w:r>
        <w:r w:rsidRPr="00814603">
          <w:rPr>
            <w:noProof/>
            <w:webHidden/>
            <w:sz w:val="18"/>
            <w:szCs w:val="18"/>
          </w:rPr>
          <w:tab/>
        </w:r>
        <w:r w:rsidRPr="00814603">
          <w:rPr>
            <w:noProof/>
            <w:webHidden/>
            <w:sz w:val="18"/>
            <w:szCs w:val="18"/>
          </w:rPr>
          <w:fldChar w:fldCharType="begin"/>
        </w:r>
        <w:r w:rsidRPr="00814603">
          <w:rPr>
            <w:noProof/>
            <w:webHidden/>
            <w:sz w:val="18"/>
            <w:szCs w:val="18"/>
          </w:rPr>
          <w:instrText xml:space="preserve"> PAGEREF _Toc209521890 \h </w:instrText>
        </w:r>
        <w:r w:rsidRPr="00814603">
          <w:rPr>
            <w:noProof/>
            <w:webHidden/>
            <w:sz w:val="18"/>
            <w:szCs w:val="18"/>
          </w:rPr>
        </w:r>
        <w:r w:rsidRPr="00814603">
          <w:rPr>
            <w:noProof/>
            <w:webHidden/>
            <w:sz w:val="18"/>
            <w:szCs w:val="18"/>
          </w:rPr>
          <w:fldChar w:fldCharType="separate"/>
        </w:r>
        <w:r w:rsidR="0013146E">
          <w:rPr>
            <w:noProof/>
            <w:webHidden/>
            <w:sz w:val="18"/>
            <w:szCs w:val="18"/>
          </w:rPr>
          <w:t>4</w:t>
        </w:r>
        <w:r w:rsidRPr="00814603">
          <w:rPr>
            <w:noProof/>
            <w:webHidden/>
            <w:sz w:val="18"/>
            <w:szCs w:val="18"/>
          </w:rPr>
          <w:fldChar w:fldCharType="end"/>
        </w:r>
      </w:hyperlink>
    </w:p>
    <w:p w14:paraId="38990FD7" w14:textId="2F75F642" w:rsidR="00A95E76" w:rsidRPr="00814603" w:rsidRDefault="00A95E76">
      <w:pPr>
        <w:pStyle w:val="TOC2"/>
        <w:rPr>
          <w:rFonts w:asciiTheme="minorHAnsi" w:eastAsiaTheme="minorEastAsia" w:hAnsiTheme="minorHAnsi" w:cstheme="minorBidi"/>
          <w:noProof/>
          <w:color w:val="auto"/>
          <w:kern w:val="2"/>
          <w:sz w:val="18"/>
          <w:szCs w:val="18"/>
          <w:lang w:val="en-ZA" w:eastAsia="en-ZA"/>
          <w14:ligatures w14:val="standardContextual"/>
        </w:rPr>
      </w:pPr>
      <w:hyperlink w:anchor="_Toc209521891" w:history="1">
        <w:r w:rsidRPr="00814603">
          <w:rPr>
            <w:rStyle w:val="Hyperlink"/>
            <w:noProof/>
            <w:sz w:val="18"/>
            <w:szCs w:val="18"/>
          </w:rPr>
          <w:t>4.</w:t>
        </w:r>
        <w:r w:rsidRPr="00814603">
          <w:rPr>
            <w:rFonts w:asciiTheme="minorHAnsi" w:eastAsiaTheme="minorEastAsia" w:hAnsiTheme="minorHAnsi" w:cstheme="minorBidi"/>
            <w:noProof/>
            <w:color w:val="auto"/>
            <w:kern w:val="2"/>
            <w:sz w:val="18"/>
            <w:szCs w:val="18"/>
            <w:lang w:val="en-ZA" w:eastAsia="en-ZA"/>
            <w14:ligatures w14:val="standardContextual"/>
          </w:rPr>
          <w:tab/>
        </w:r>
        <w:r w:rsidRPr="00814603">
          <w:rPr>
            <w:rStyle w:val="Hyperlink"/>
            <w:noProof/>
            <w:sz w:val="18"/>
            <w:szCs w:val="18"/>
          </w:rPr>
          <w:t>SCOPE</w:t>
        </w:r>
        <w:r w:rsidRPr="00814603">
          <w:rPr>
            <w:noProof/>
            <w:webHidden/>
            <w:sz w:val="18"/>
            <w:szCs w:val="18"/>
          </w:rPr>
          <w:tab/>
        </w:r>
        <w:r w:rsidRPr="00814603">
          <w:rPr>
            <w:noProof/>
            <w:webHidden/>
            <w:sz w:val="18"/>
            <w:szCs w:val="18"/>
          </w:rPr>
          <w:fldChar w:fldCharType="begin"/>
        </w:r>
        <w:r w:rsidRPr="00814603">
          <w:rPr>
            <w:noProof/>
            <w:webHidden/>
            <w:sz w:val="18"/>
            <w:szCs w:val="18"/>
          </w:rPr>
          <w:instrText xml:space="preserve"> PAGEREF _Toc209521891 \h </w:instrText>
        </w:r>
        <w:r w:rsidRPr="00814603">
          <w:rPr>
            <w:noProof/>
            <w:webHidden/>
            <w:sz w:val="18"/>
            <w:szCs w:val="18"/>
          </w:rPr>
        </w:r>
        <w:r w:rsidRPr="00814603">
          <w:rPr>
            <w:noProof/>
            <w:webHidden/>
            <w:sz w:val="18"/>
            <w:szCs w:val="18"/>
          </w:rPr>
          <w:fldChar w:fldCharType="separate"/>
        </w:r>
        <w:r w:rsidR="0013146E">
          <w:rPr>
            <w:noProof/>
            <w:webHidden/>
            <w:sz w:val="18"/>
            <w:szCs w:val="18"/>
          </w:rPr>
          <w:t>4</w:t>
        </w:r>
        <w:r w:rsidRPr="00814603">
          <w:rPr>
            <w:noProof/>
            <w:webHidden/>
            <w:sz w:val="18"/>
            <w:szCs w:val="18"/>
          </w:rPr>
          <w:fldChar w:fldCharType="end"/>
        </w:r>
      </w:hyperlink>
    </w:p>
    <w:p w14:paraId="63018F82" w14:textId="21B00B71" w:rsidR="00A95E76" w:rsidRPr="00814603" w:rsidRDefault="00A95E76">
      <w:pPr>
        <w:pStyle w:val="TOC2"/>
        <w:rPr>
          <w:rFonts w:asciiTheme="minorHAnsi" w:eastAsiaTheme="minorEastAsia" w:hAnsiTheme="minorHAnsi" w:cstheme="minorBidi"/>
          <w:noProof/>
          <w:color w:val="auto"/>
          <w:kern w:val="2"/>
          <w:sz w:val="18"/>
          <w:szCs w:val="18"/>
          <w:lang w:val="en-ZA" w:eastAsia="en-ZA"/>
          <w14:ligatures w14:val="standardContextual"/>
        </w:rPr>
      </w:pPr>
      <w:hyperlink w:anchor="_Toc209521892" w:history="1">
        <w:r w:rsidRPr="00814603">
          <w:rPr>
            <w:rStyle w:val="Hyperlink"/>
            <w:noProof/>
            <w:sz w:val="18"/>
            <w:szCs w:val="18"/>
          </w:rPr>
          <w:t>5.</w:t>
        </w:r>
        <w:r w:rsidRPr="00814603">
          <w:rPr>
            <w:rFonts w:asciiTheme="minorHAnsi" w:eastAsiaTheme="minorEastAsia" w:hAnsiTheme="minorHAnsi" w:cstheme="minorBidi"/>
            <w:noProof/>
            <w:color w:val="auto"/>
            <w:kern w:val="2"/>
            <w:sz w:val="18"/>
            <w:szCs w:val="18"/>
            <w:lang w:val="en-ZA" w:eastAsia="en-ZA"/>
            <w14:ligatures w14:val="standardContextual"/>
          </w:rPr>
          <w:tab/>
        </w:r>
        <w:r w:rsidRPr="00814603">
          <w:rPr>
            <w:rStyle w:val="Hyperlink"/>
            <w:noProof/>
            <w:sz w:val="18"/>
            <w:szCs w:val="18"/>
          </w:rPr>
          <w:t>LIQUIDITY MANAGEMENT</w:t>
        </w:r>
        <w:r w:rsidRPr="00814603">
          <w:rPr>
            <w:noProof/>
            <w:webHidden/>
            <w:sz w:val="18"/>
            <w:szCs w:val="18"/>
          </w:rPr>
          <w:tab/>
        </w:r>
        <w:r w:rsidRPr="00814603">
          <w:rPr>
            <w:noProof/>
            <w:webHidden/>
            <w:sz w:val="18"/>
            <w:szCs w:val="18"/>
          </w:rPr>
          <w:fldChar w:fldCharType="begin"/>
        </w:r>
        <w:r w:rsidRPr="00814603">
          <w:rPr>
            <w:noProof/>
            <w:webHidden/>
            <w:sz w:val="18"/>
            <w:szCs w:val="18"/>
          </w:rPr>
          <w:instrText xml:space="preserve"> PAGEREF _Toc209521892 \h </w:instrText>
        </w:r>
        <w:r w:rsidRPr="00814603">
          <w:rPr>
            <w:noProof/>
            <w:webHidden/>
            <w:sz w:val="18"/>
            <w:szCs w:val="18"/>
          </w:rPr>
        </w:r>
        <w:r w:rsidRPr="00814603">
          <w:rPr>
            <w:noProof/>
            <w:webHidden/>
            <w:sz w:val="18"/>
            <w:szCs w:val="18"/>
          </w:rPr>
          <w:fldChar w:fldCharType="separate"/>
        </w:r>
        <w:r w:rsidR="0013146E">
          <w:rPr>
            <w:noProof/>
            <w:webHidden/>
            <w:sz w:val="18"/>
            <w:szCs w:val="18"/>
          </w:rPr>
          <w:t>4</w:t>
        </w:r>
        <w:r w:rsidRPr="00814603">
          <w:rPr>
            <w:noProof/>
            <w:webHidden/>
            <w:sz w:val="18"/>
            <w:szCs w:val="18"/>
          </w:rPr>
          <w:fldChar w:fldCharType="end"/>
        </w:r>
      </w:hyperlink>
    </w:p>
    <w:p w14:paraId="4DEB575A" w14:textId="2EABE599" w:rsidR="00A95E76" w:rsidRPr="00814603" w:rsidRDefault="00A95E76">
      <w:pPr>
        <w:pStyle w:val="TOC3"/>
        <w:tabs>
          <w:tab w:val="left" w:pos="1200"/>
          <w:tab w:val="right" w:leader="dot" w:pos="9628"/>
        </w:tabs>
        <w:rPr>
          <w:noProof/>
          <w:kern w:val="2"/>
          <w:sz w:val="18"/>
          <w:szCs w:val="18"/>
          <w:lang w:val="en-ZA" w:eastAsia="en-ZA"/>
          <w14:ligatures w14:val="standardContextual"/>
        </w:rPr>
      </w:pPr>
      <w:hyperlink w:anchor="_Toc209521893" w:history="1">
        <w:r w:rsidRPr="00814603">
          <w:rPr>
            <w:rStyle w:val="Hyperlink"/>
            <w:noProof/>
            <w:sz w:val="18"/>
            <w:szCs w:val="18"/>
          </w:rPr>
          <w:t>5.1</w:t>
        </w:r>
        <w:r w:rsidRPr="00814603">
          <w:rPr>
            <w:noProof/>
            <w:kern w:val="2"/>
            <w:sz w:val="18"/>
            <w:szCs w:val="18"/>
            <w:lang w:val="en-ZA" w:eastAsia="en-ZA"/>
            <w14:ligatures w14:val="standardContextual"/>
          </w:rPr>
          <w:tab/>
        </w:r>
        <w:r w:rsidRPr="00814603">
          <w:rPr>
            <w:rStyle w:val="Hyperlink"/>
            <w:noProof/>
            <w:sz w:val="18"/>
            <w:szCs w:val="18"/>
          </w:rPr>
          <w:t>LIQUIDITY REQUIREMENT AND INVESTMENT GUIDELINES</w:t>
        </w:r>
        <w:r w:rsidRPr="00814603">
          <w:rPr>
            <w:noProof/>
            <w:webHidden/>
            <w:sz w:val="18"/>
            <w:szCs w:val="18"/>
          </w:rPr>
          <w:tab/>
        </w:r>
        <w:r w:rsidRPr="00814603">
          <w:rPr>
            <w:noProof/>
            <w:webHidden/>
            <w:sz w:val="18"/>
            <w:szCs w:val="18"/>
          </w:rPr>
          <w:fldChar w:fldCharType="begin"/>
        </w:r>
        <w:r w:rsidRPr="00814603">
          <w:rPr>
            <w:noProof/>
            <w:webHidden/>
            <w:sz w:val="18"/>
            <w:szCs w:val="18"/>
          </w:rPr>
          <w:instrText xml:space="preserve"> PAGEREF _Toc209521893 \h </w:instrText>
        </w:r>
        <w:r w:rsidRPr="00814603">
          <w:rPr>
            <w:noProof/>
            <w:webHidden/>
            <w:sz w:val="18"/>
            <w:szCs w:val="18"/>
          </w:rPr>
        </w:r>
        <w:r w:rsidRPr="00814603">
          <w:rPr>
            <w:noProof/>
            <w:webHidden/>
            <w:sz w:val="18"/>
            <w:szCs w:val="18"/>
          </w:rPr>
          <w:fldChar w:fldCharType="separate"/>
        </w:r>
        <w:r w:rsidR="0013146E">
          <w:rPr>
            <w:noProof/>
            <w:webHidden/>
            <w:sz w:val="18"/>
            <w:szCs w:val="18"/>
          </w:rPr>
          <w:t>5</w:t>
        </w:r>
        <w:r w:rsidRPr="00814603">
          <w:rPr>
            <w:noProof/>
            <w:webHidden/>
            <w:sz w:val="18"/>
            <w:szCs w:val="18"/>
          </w:rPr>
          <w:fldChar w:fldCharType="end"/>
        </w:r>
      </w:hyperlink>
    </w:p>
    <w:p w14:paraId="5882EB77" w14:textId="7DA193A9" w:rsidR="00A95E76" w:rsidRPr="00814603" w:rsidRDefault="00A95E76">
      <w:pPr>
        <w:pStyle w:val="TOC3"/>
        <w:tabs>
          <w:tab w:val="left" w:pos="1200"/>
          <w:tab w:val="right" w:leader="dot" w:pos="9628"/>
        </w:tabs>
        <w:rPr>
          <w:noProof/>
          <w:kern w:val="2"/>
          <w:sz w:val="18"/>
          <w:szCs w:val="18"/>
          <w:lang w:val="en-ZA" w:eastAsia="en-ZA"/>
          <w14:ligatures w14:val="standardContextual"/>
        </w:rPr>
      </w:pPr>
      <w:hyperlink w:anchor="_Toc209521894" w:history="1">
        <w:r w:rsidRPr="00814603">
          <w:rPr>
            <w:rStyle w:val="Hyperlink"/>
            <w:noProof/>
            <w:sz w:val="18"/>
            <w:szCs w:val="18"/>
          </w:rPr>
          <w:t>5.2</w:t>
        </w:r>
        <w:r w:rsidRPr="00814603">
          <w:rPr>
            <w:noProof/>
            <w:kern w:val="2"/>
            <w:sz w:val="18"/>
            <w:szCs w:val="18"/>
            <w:lang w:val="en-ZA" w:eastAsia="en-ZA"/>
            <w14:ligatures w14:val="standardContextual"/>
          </w:rPr>
          <w:tab/>
        </w:r>
        <w:r w:rsidRPr="00814603">
          <w:rPr>
            <w:rStyle w:val="Hyperlink"/>
            <w:noProof/>
            <w:sz w:val="18"/>
            <w:szCs w:val="18"/>
          </w:rPr>
          <w:t>TIMING OF JSE CLEAR’S PAYMENTS</w:t>
        </w:r>
        <w:r w:rsidRPr="00814603">
          <w:rPr>
            <w:noProof/>
            <w:webHidden/>
            <w:sz w:val="18"/>
            <w:szCs w:val="18"/>
          </w:rPr>
          <w:tab/>
        </w:r>
        <w:r w:rsidRPr="00814603">
          <w:rPr>
            <w:noProof/>
            <w:webHidden/>
            <w:sz w:val="18"/>
            <w:szCs w:val="18"/>
          </w:rPr>
          <w:fldChar w:fldCharType="begin"/>
        </w:r>
        <w:r w:rsidRPr="00814603">
          <w:rPr>
            <w:noProof/>
            <w:webHidden/>
            <w:sz w:val="18"/>
            <w:szCs w:val="18"/>
          </w:rPr>
          <w:instrText xml:space="preserve"> PAGEREF _Toc209521894 \h </w:instrText>
        </w:r>
        <w:r w:rsidRPr="00814603">
          <w:rPr>
            <w:noProof/>
            <w:webHidden/>
            <w:sz w:val="18"/>
            <w:szCs w:val="18"/>
          </w:rPr>
        </w:r>
        <w:r w:rsidRPr="00814603">
          <w:rPr>
            <w:noProof/>
            <w:webHidden/>
            <w:sz w:val="18"/>
            <w:szCs w:val="18"/>
          </w:rPr>
          <w:fldChar w:fldCharType="separate"/>
        </w:r>
        <w:r w:rsidR="0013146E">
          <w:rPr>
            <w:noProof/>
            <w:webHidden/>
            <w:sz w:val="18"/>
            <w:szCs w:val="18"/>
          </w:rPr>
          <w:t>5</w:t>
        </w:r>
        <w:r w:rsidRPr="00814603">
          <w:rPr>
            <w:noProof/>
            <w:webHidden/>
            <w:sz w:val="18"/>
            <w:szCs w:val="18"/>
          </w:rPr>
          <w:fldChar w:fldCharType="end"/>
        </w:r>
      </w:hyperlink>
    </w:p>
    <w:p w14:paraId="319010EB" w14:textId="64D697E3" w:rsidR="00A95E76" w:rsidRPr="00814603" w:rsidRDefault="00A95E76">
      <w:pPr>
        <w:pStyle w:val="TOC3"/>
        <w:tabs>
          <w:tab w:val="left" w:pos="1200"/>
          <w:tab w:val="right" w:leader="dot" w:pos="9628"/>
        </w:tabs>
        <w:rPr>
          <w:noProof/>
          <w:kern w:val="2"/>
          <w:sz w:val="18"/>
          <w:szCs w:val="18"/>
          <w:lang w:val="en-ZA" w:eastAsia="en-ZA"/>
          <w14:ligatures w14:val="standardContextual"/>
        </w:rPr>
      </w:pPr>
      <w:hyperlink w:anchor="_Toc209521895" w:history="1">
        <w:r w:rsidRPr="00814603">
          <w:rPr>
            <w:rStyle w:val="Hyperlink"/>
            <w:noProof/>
            <w:sz w:val="18"/>
            <w:szCs w:val="18"/>
          </w:rPr>
          <w:t>5.3</w:t>
        </w:r>
        <w:r w:rsidRPr="00814603">
          <w:rPr>
            <w:noProof/>
            <w:kern w:val="2"/>
            <w:sz w:val="18"/>
            <w:szCs w:val="18"/>
            <w:lang w:val="en-ZA" w:eastAsia="en-ZA"/>
            <w14:ligatures w14:val="standardContextual"/>
          </w:rPr>
          <w:tab/>
        </w:r>
        <w:r w:rsidRPr="00814603">
          <w:rPr>
            <w:rStyle w:val="Hyperlink"/>
            <w:noProof/>
            <w:sz w:val="18"/>
            <w:szCs w:val="18"/>
          </w:rPr>
          <w:t>PROVISION OF LIQUIDITY</w:t>
        </w:r>
        <w:r w:rsidRPr="00814603">
          <w:rPr>
            <w:noProof/>
            <w:webHidden/>
            <w:sz w:val="18"/>
            <w:szCs w:val="18"/>
          </w:rPr>
          <w:tab/>
        </w:r>
        <w:r w:rsidRPr="00814603">
          <w:rPr>
            <w:noProof/>
            <w:webHidden/>
            <w:sz w:val="18"/>
            <w:szCs w:val="18"/>
          </w:rPr>
          <w:fldChar w:fldCharType="begin"/>
        </w:r>
        <w:r w:rsidRPr="00814603">
          <w:rPr>
            <w:noProof/>
            <w:webHidden/>
            <w:sz w:val="18"/>
            <w:szCs w:val="18"/>
          </w:rPr>
          <w:instrText xml:space="preserve"> PAGEREF _Toc209521895 \h </w:instrText>
        </w:r>
        <w:r w:rsidRPr="00814603">
          <w:rPr>
            <w:noProof/>
            <w:webHidden/>
            <w:sz w:val="18"/>
            <w:szCs w:val="18"/>
          </w:rPr>
        </w:r>
        <w:r w:rsidRPr="00814603">
          <w:rPr>
            <w:noProof/>
            <w:webHidden/>
            <w:sz w:val="18"/>
            <w:szCs w:val="18"/>
          </w:rPr>
          <w:fldChar w:fldCharType="separate"/>
        </w:r>
        <w:r w:rsidR="0013146E">
          <w:rPr>
            <w:noProof/>
            <w:webHidden/>
            <w:sz w:val="18"/>
            <w:szCs w:val="18"/>
          </w:rPr>
          <w:t>6</w:t>
        </w:r>
        <w:r w:rsidRPr="00814603">
          <w:rPr>
            <w:noProof/>
            <w:webHidden/>
            <w:sz w:val="18"/>
            <w:szCs w:val="18"/>
          </w:rPr>
          <w:fldChar w:fldCharType="end"/>
        </w:r>
      </w:hyperlink>
    </w:p>
    <w:p w14:paraId="7EE5D54B" w14:textId="0000FA09" w:rsidR="00A95E76" w:rsidRPr="00814603" w:rsidRDefault="00A95E76">
      <w:pPr>
        <w:pStyle w:val="TOC3"/>
        <w:tabs>
          <w:tab w:val="left" w:pos="1200"/>
          <w:tab w:val="right" w:leader="dot" w:pos="9628"/>
        </w:tabs>
        <w:rPr>
          <w:noProof/>
          <w:kern w:val="2"/>
          <w:sz w:val="18"/>
          <w:szCs w:val="18"/>
          <w:lang w:val="en-ZA" w:eastAsia="en-ZA"/>
          <w14:ligatures w14:val="standardContextual"/>
        </w:rPr>
      </w:pPr>
      <w:hyperlink w:anchor="_Toc209521896" w:history="1">
        <w:r w:rsidRPr="00814603">
          <w:rPr>
            <w:rStyle w:val="Hyperlink"/>
            <w:noProof/>
            <w:sz w:val="18"/>
            <w:szCs w:val="18"/>
          </w:rPr>
          <w:t>5.4</w:t>
        </w:r>
        <w:r w:rsidRPr="00814603">
          <w:rPr>
            <w:noProof/>
            <w:kern w:val="2"/>
            <w:sz w:val="18"/>
            <w:szCs w:val="18"/>
            <w:lang w:val="en-ZA" w:eastAsia="en-ZA"/>
            <w14:ligatures w14:val="standardContextual"/>
          </w:rPr>
          <w:tab/>
        </w:r>
        <w:r w:rsidRPr="00814603">
          <w:rPr>
            <w:rStyle w:val="Hyperlink"/>
            <w:noProof/>
            <w:sz w:val="18"/>
            <w:szCs w:val="18"/>
          </w:rPr>
          <w:t>SOURCES OF LIQUIDITY</w:t>
        </w:r>
        <w:r w:rsidRPr="00814603">
          <w:rPr>
            <w:noProof/>
            <w:webHidden/>
            <w:sz w:val="18"/>
            <w:szCs w:val="18"/>
          </w:rPr>
          <w:tab/>
        </w:r>
        <w:r w:rsidRPr="00814603">
          <w:rPr>
            <w:noProof/>
            <w:webHidden/>
            <w:sz w:val="18"/>
            <w:szCs w:val="18"/>
          </w:rPr>
          <w:fldChar w:fldCharType="begin"/>
        </w:r>
        <w:r w:rsidRPr="00814603">
          <w:rPr>
            <w:noProof/>
            <w:webHidden/>
            <w:sz w:val="18"/>
            <w:szCs w:val="18"/>
          </w:rPr>
          <w:instrText xml:space="preserve"> PAGEREF _Toc209521896 \h </w:instrText>
        </w:r>
        <w:r w:rsidRPr="00814603">
          <w:rPr>
            <w:noProof/>
            <w:webHidden/>
            <w:sz w:val="18"/>
            <w:szCs w:val="18"/>
          </w:rPr>
        </w:r>
        <w:r w:rsidRPr="00814603">
          <w:rPr>
            <w:noProof/>
            <w:webHidden/>
            <w:sz w:val="18"/>
            <w:szCs w:val="18"/>
          </w:rPr>
          <w:fldChar w:fldCharType="separate"/>
        </w:r>
        <w:r w:rsidR="0013146E">
          <w:rPr>
            <w:noProof/>
            <w:webHidden/>
            <w:sz w:val="18"/>
            <w:szCs w:val="18"/>
          </w:rPr>
          <w:t>6</w:t>
        </w:r>
        <w:r w:rsidRPr="00814603">
          <w:rPr>
            <w:noProof/>
            <w:webHidden/>
            <w:sz w:val="18"/>
            <w:szCs w:val="18"/>
          </w:rPr>
          <w:fldChar w:fldCharType="end"/>
        </w:r>
      </w:hyperlink>
    </w:p>
    <w:p w14:paraId="52349ADA" w14:textId="5F160BB5" w:rsidR="00A95E76" w:rsidRPr="00814603" w:rsidRDefault="00A95E76">
      <w:pPr>
        <w:pStyle w:val="TOC3"/>
        <w:tabs>
          <w:tab w:val="left" w:pos="1200"/>
          <w:tab w:val="right" w:leader="dot" w:pos="9628"/>
        </w:tabs>
        <w:rPr>
          <w:noProof/>
          <w:kern w:val="2"/>
          <w:sz w:val="18"/>
          <w:szCs w:val="18"/>
          <w:lang w:val="en-ZA" w:eastAsia="en-ZA"/>
          <w14:ligatures w14:val="standardContextual"/>
        </w:rPr>
      </w:pPr>
      <w:hyperlink w:anchor="_Toc209521897" w:history="1">
        <w:r w:rsidRPr="00814603">
          <w:rPr>
            <w:rStyle w:val="Hyperlink"/>
            <w:noProof/>
            <w:sz w:val="18"/>
            <w:szCs w:val="18"/>
          </w:rPr>
          <w:t>5.5</w:t>
        </w:r>
        <w:r w:rsidRPr="00814603">
          <w:rPr>
            <w:noProof/>
            <w:kern w:val="2"/>
            <w:sz w:val="18"/>
            <w:szCs w:val="18"/>
            <w:lang w:val="en-ZA" w:eastAsia="en-ZA"/>
            <w14:ligatures w14:val="standardContextual"/>
          </w:rPr>
          <w:tab/>
        </w:r>
        <w:r w:rsidRPr="00814603">
          <w:rPr>
            <w:rStyle w:val="Hyperlink"/>
            <w:noProof/>
            <w:sz w:val="18"/>
            <w:szCs w:val="18"/>
          </w:rPr>
          <w:t>QUANTIFICATION OF THE LIQUIDITY REQUIREMENT</w:t>
        </w:r>
        <w:r w:rsidRPr="00814603">
          <w:rPr>
            <w:noProof/>
            <w:webHidden/>
            <w:sz w:val="18"/>
            <w:szCs w:val="18"/>
          </w:rPr>
          <w:tab/>
        </w:r>
        <w:r w:rsidRPr="00814603">
          <w:rPr>
            <w:noProof/>
            <w:webHidden/>
            <w:sz w:val="18"/>
            <w:szCs w:val="18"/>
          </w:rPr>
          <w:fldChar w:fldCharType="begin"/>
        </w:r>
        <w:r w:rsidRPr="00814603">
          <w:rPr>
            <w:noProof/>
            <w:webHidden/>
            <w:sz w:val="18"/>
            <w:szCs w:val="18"/>
          </w:rPr>
          <w:instrText xml:space="preserve"> PAGEREF _Toc209521897 \h </w:instrText>
        </w:r>
        <w:r w:rsidRPr="00814603">
          <w:rPr>
            <w:noProof/>
            <w:webHidden/>
            <w:sz w:val="18"/>
            <w:szCs w:val="18"/>
          </w:rPr>
        </w:r>
        <w:r w:rsidRPr="00814603">
          <w:rPr>
            <w:noProof/>
            <w:webHidden/>
            <w:sz w:val="18"/>
            <w:szCs w:val="18"/>
          </w:rPr>
          <w:fldChar w:fldCharType="separate"/>
        </w:r>
        <w:r w:rsidR="0013146E">
          <w:rPr>
            <w:noProof/>
            <w:webHidden/>
            <w:sz w:val="18"/>
            <w:szCs w:val="18"/>
          </w:rPr>
          <w:t>6</w:t>
        </w:r>
        <w:r w:rsidRPr="00814603">
          <w:rPr>
            <w:noProof/>
            <w:webHidden/>
            <w:sz w:val="18"/>
            <w:szCs w:val="18"/>
          </w:rPr>
          <w:fldChar w:fldCharType="end"/>
        </w:r>
      </w:hyperlink>
    </w:p>
    <w:p w14:paraId="472579BB" w14:textId="2EB8EB2E" w:rsidR="00A95E76" w:rsidRPr="00814603" w:rsidRDefault="00A95E76">
      <w:pPr>
        <w:pStyle w:val="TOC3"/>
        <w:tabs>
          <w:tab w:val="left" w:pos="1200"/>
          <w:tab w:val="right" w:leader="dot" w:pos="9628"/>
        </w:tabs>
        <w:rPr>
          <w:noProof/>
          <w:kern w:val="2"/>
          <w:sz w:val="18"/>
          <w:szCs w:val="18"/>
          <w:lang w:val="en-ZA" w:eastAsia="en-ZA"/>
          <w14:ligatures w14:val="standardContextual"/>
        </w:rPr>
      </w:pPr>
      <w:hyperlink w:anchor="_Toc209521898" w:history="1">
        <w:r w:rsidRPr="00814603">
          <w:rPr>
            <w:rStyle w:val="Hyperlink"/>
            <w:noProof/>
            <w:sz w:val="18"/>
            <w:szCs w:val="18"/>
          </w:rPr>
          <w:t>5.6</w:t>
        </w:r>
        <w:r w:rsidRPr="00814603">
          <w:rPr>
            <w:noProof/>
            <w:kern w:val="2"/>
            <w:sz w:val="18"/>
            <w:szCs w:val="18"/>
            <w:lang w:val="en-ZA" w:eastAsia="en-ZA"/>
            <w14:ligatures w14:val="standardContextual"/>
          </w:rPr>
          <w:tab/>
        </w:r>
        <w:r w:rsidRPr="00814603">
          <w:rPr>
            <w:rStyle w:val="Hyperlink"/>
            <w:noProof/>
            <w:sz w:val="18"/>
            <w:szCs w:val="18"/>
          </w:rPr>
          <w:t>MAXIMUM PROVISION OF LIQUIDITY</w:t>
        </w:r>
        <w:r w:rsidRPr="00814603">
          <w:rPr>
            <w:noProof/>
            <w:webHidden/>
            <w:sz w:val="18"/>
            <w:szCs w:val="18"/>
          </w:rPr>
          <w:tab/>
        </w:r>
        <w:r w:rsidRPr="00814603">
          <w:rPr>
            <w:noProof/>
            <w:webHidden/>
            <w:sz w:val="18"/>
            <w:szCs w:val="18"/>
          </w:rPr>
          <w:fldChar w:fldCharType="begin"/>
        </w:r>
        <w:r w:rsidRPr="00814603">
          <w:rPr>
            <w:noProof/>
            <w:webHidden/>
            <w:sz w:val="18"/>
            <w:szCs w:val="18"/>
          </w:rPr>
          <w:instrText xml:space="preserve"> PAGEREF _Toc209521898 \h </w:instrText>
        </w:r>
        <w:r w:rsidRPr="00814603">
          <w:rPr>
            <w:noProof/>
            <w:webHidden/>
            <w:sz w:val="18"/>
            <w:szCs w:val="18"/>
          </w:rPr>
        </w:r>
        <w:r w:rsidRPr="00814603">
          <w:rPr>
            <w:noProof/>
            <w:webHidden/>
            <w:sz w:val="18"/>
            <w:szCs w:val="18"/>
          </w:rPr>
          <w:fldChar w:fldCharType="separate"/>
        </w:r>
        <w:r w:rsidR="0013146E">
          <w:rPr>
            <w:noProof/>
            <w:webHidden/>
            <w:sz w:val="18"/>
            <w:szCs w:val="18"/>
          </w:rPr>
          <w:t>6</w:t>
        </w:r>
        <w:r w:rsidRPr="00814603">
          <w:rPr>
            <w:noProof/>
            <w:webHidden/>
            <w:sz w:val="18"/>
            <w:szCs w:val="18"/>
          </w:rPr>
          <w:fldChar w:fldCharType="end"/>
        </w:r>
      </w:hyperlink>
    </w:p>
    <w:p w14:paraId="03BBE14A" w14:textId="758AB9B6" w:rsidR="00A95E76" w:rsidRPr="00814603" w:rsidRDefault="00A95E76">
      <w:pPr>
        <w:pStyle w:val="TOC3"/>
        <w:tabs>
          <w:tab w:val="left" w:pos="1200"/>
          <w:tab w:val="right" w:leader="dot" w:pos="9628"/>
        </w:tabs>
        <w:rPr>
          <w:noProof/>
          <w:kern w:val="2"/>
          <w:sz w:val="18"/>
          <w:szCs w:val="18"/>
          <w:lang w:val="en-ZA" w:eastAsia="en-ZA"/>
          <w14:ligatures w14:val="standardContextual"/>
        </w:rPr>
      </w:pPr>
      <w:hyperlink w:anchor="_Toc209521899" w:history="1">
        <w:r w:rsidRPr="00814603">
          <w:rPr>
            <w:rStyle w:val="Hyperlink"/>
            <w:noProof/>
            <w:sz w:val="18"/>
            <w:szCs w:val="18"/>
          </w:rPr>
          <w:t>5.7</w:t>
        </w:r>
        <w:r w:rsidRPr="00814603">
          <w:rPr>
            <w:noProof/>
            <w:kern w:val="2"/>
            <w:sz w:val="18"/>
            <w:szCs w:val="18"/>
            <w:lang w:val="en-ZA" w:eastAsia="en-ZA"/>
            <w14:ligatures w14:val="standardContextual"/>
          </w:rPr>
          <w:tab/>
        </w:r>
        <w:r w:rsidRPr="00814603">
          <w:rPr>
            <w:rStyle w:val="Hyperlink"/>
            <w:noProof/>
            <w:sz w:val="18"/>
            <w:szCs w:val="18"/>
          </w:rPr>
          <w:t>COSTS</w:t>
        </w:r>
        <w:r w:rsidRPr="00814603">
          <w:rPr>
            <w:noProof/>
            <w:webHidden/>
            <w:sz w:val="18"/>
            <w:szCs w:val="18"/>
          </w:rPr>
          <w:tab/>
        </w:r>
        <w:r w:rsidRPr="00814603">
          <w:rPr>
            <w:noProof/>
            <w:webHidden/>
            <w:sz w:val="18"/>
            <w:szCs w:val="18"/>
          </w:rPr>
          <w:fldChar w:fldCharType="begin"/>
        </w:r>
        <w:r w:rsidRPr="00814603">
          <w:rPr>
            <w:noProof/>
            <w:webHidden/>
            <w:sz w:val="18"/>
            <w:szCs w:val="18"/>
          </w:rPr>
          <w:instrText xml:space="preserve"> PAGEREF _Toc209521899 \h </w:instrText>
        </w:r>
        <w:r w:rsidRPr="00814603">
          <w:rPr>
            <w:noProof/>
            <w:webHidden/>
            <w:sz w:val="18"/>
            <w:szCs w:val="18"/>
          </w:rPr>
        </w:r>
        <w:r w:rsidRPr="00814603">
          <w:rPr>
            <w:noProof/>
            <w:webHidden/>
            <w:sz w:val="18"/>
            <w:szCs w:val="18"/>
          </w:rPr>
          <w:fldChar w:fldCharType="separate"/>
        </w:r>
        <w:r w:rsidR="0013146E">
          <w:rPr>
            <w:noProof/>
            <w:webHidden/>
            <w:sz w:val="18"/>
            <w:szCs w:val="18"/>
          </w:rPr>
          <w:t>7</w:t>
        </w:r>
        <w:r w:rsidRPr="00814603">
          <w:rPr>
            <w:noProof/>
            <w:webHidden/>
            <w:sz w:val="18"/>
            <w:szCs w:val="18"/>
          </w:rPr>
          <w:fldChar w:fldCharType="end"/>
        </w:r>
      </w:hyperlink>
    </w:p>
    <w:p w14:paraId="59BE8C01" w14:textId="6D192E3D" w:rsidR="00A95E76" w:rsidRPr="00814603" w:rsidRDefault="00A95E76">
      <w:pPr>
        <w:pStyle w:val="TOC3"/>
        <w:tabs>
          <w:tab w:val="left" w:pos="1200"/>
          <w:tab w:val="right" w:leader="dot" w:pos="9628"/>
        </w:tabs>
        <w:rPr>
          <w:noProof/>
          <w:kern w:val="2"/>
          <w:sz w:val="18"/>
          <w:szCs w:val="18"/>
          <w:lang w:val="en-ZA" w:eastAsia="en-ZA"/>
          <w14:ligatures w14:val="standardContextual"/>
        </w:rPr>
      </w:pPr>
      <w:hyperlink w:anchor="_Toc209521900" w:history="1">
        <w:r w:rsidRPr="00814603">
          <w:rPr>
            <w:rStyle w:val="Hyperlink"/>
            <w:noProof/>
            <w:sz w:val="18"/>
            <w:szCs w:val="18"/>
          </w:rPr>
          <w:t>5.8</w:t>
        </w:r>
        <w:r w:rsidRPr="00814603">
          <w:rPr>
            <w:noProof/>
            <w:kern w:val="2"/>
            <w:sz w:val="18"/>
            <w:szCs w:val="18"/>
            <w:lang w:val="en-ZA" w:eastAsia="en-ZA"/>
            <w14:ligatures w14:val="standardContextual"/>
          </w:rPr>
          <w:tab/>
        </w:r>
        <w:r w:rsidRPr="00814603">
          <w:rPr>
            <w:rStyle w:val="Hyperlink"/>
            <w:noProof/>
            <w:sz w:val="18"/>
            <w:szCs w:val="18"/>
          </w:rPr>
          <w:t>FACILITY REPAYMENT</w:t>
        </w:r>
        <w:r w:rsidRPr="00814603">
          <w:rPr>
            <w:noProof/>
            <w:webHidden/>
            <w:sz w:val="18"/>
            <w:szCs w:val="18"/>
          </w:rPr>
          <w:tab/>
        </w:r>
        <w:r w:rsidRPr="00814603">
          <w:rPr>
            <w:noProof/>
            <w:webHidden/>
            <w:sz w:val="18"/>
            <w:szCs w:val="18"/>
          </w:rPr>
          <w:fldChar w:fldCharType="begin"/>
        </w:r>
        <w:r w:rsidRPr="00814603">
          <w:rPr>
            <w:noProof/>
            <w:webHidden/>
            <w:sz w:val="18"/>
            <w:szCs w:val="18"/>
          </w:rPr>
          <w:instrText xml:space="preserve"> PAGEREF _Toc209521900 \h </w:instrText>
        </w:r>
        <w:r w:rsidRPr="00814603">
          <w:rPr>
            <w:noProof/>
            <w:webHidden/>
            <w:sz w:val="18"/>
            <w:szCs w:val="18"/>
          </w:rPr>
        </w:r>
        <w:r w:rsidRPr="00814603">
          <w:rPr>
            <w:noProof/>
            <w:webHidden/>
            <w:sz w:val="18"/>
            <w:szCs w:val="18"/>
          </w:rPr>
          <w:fldChar w:fldCharType="separate"/>
        </w:r>
        <w:r w:rsidR="0013146E">
          <w:rPr>
            <w:noProof/>
            <w:webHidden/>
            <w:sz w:val="18"/>
            <w:szCs w:val="18"/>
          </w:rPr>
          <w:t>7</w:t>
        </w:r>
        <w:r w:rsidRPr="00814603">
          <w:rPr>
            <w:noProof/>
            <w:webHidden/>
            <w:sz w:val="18"/>
            <w:szCs w:val="18"/>
          </w:rPr>
          <w:fldChar w:fldCharType="end"/>
        </w:r>
      </w:hyperlink>
    </w:p>
    <w:p w14:paraId="750D6554" w14:textId="507E8966" w:rsidR="00A95E76" w:rsidRPr="00814603" w:rsidRDefault="00A95E76">
      <w:pPr>
        <w:pStyle w:val="TOC2"/>
        <w:rPr>
          <w:rFonts w:asciiTheme="minorHAnsi" w:eastAsiaTheme="minorEastAsia" w:hAnsiTheme="minorHAnsi" w:cstheme="minorBidi"/>
          <w:noProof/>
          <w:color w:val="auto"/>
          <w:kern w:val="2"/>
          <w:sz w:val="18"/>
          <w:szCs w:val="18"/>
          <w:lang w:val="en-ZA" w:eastAsia="en-ZA"/>
          <w14:ligatures w14:val="standardContextual"/>
        </w:rPr>
      </w:pPr>
      <w:hyperlink w:anchor="_Toc209521903" w:history="1">
        <w:r w:rsidRPr="00814603">
          <w:rPr>
            <w:rStyle w:val="Hyperlink"/>
            <w:noProof/>
            <w:sz w:val="18"/>
            <w:szCs w:val="18"/>
          </w:rPr>
          <w:t>6.</w:t>
        </w:r>
        <w:r w:rsidRPr="00814603">
          <w:rPr>
            <w:rFonts w:asciiTheme="minorHAnsi" w:eastAsiaTheme="minorEastAsia" w:hAnsiTheme="minorHAnsi" w:cstheme="minorBidi"/>
            <w:noProof/>
            <w:color w:val="auto"/>
            <w:kern w:val="2"/>
            <w:sz w:val="18"/>
            <w:szCs w:val="18"/>
            <w:lang w:val="en-ZA" w:eastAsia="en-ZA"/>
            <w14:ligatures w14:val="standardContextual"/>
          </w:rPr>
          <w:tab/>
        </w:r>
        <w:r w:rsidRPr="00814603">
          <w:rPr>
            <w:rStyle w:val="Hyperlink"/>
            <w:noProof/>
            <w:sz w:val="18"/>
            <w:szCs w:val="18"/>
          </w:rPr>
          <w:t>ROLES AND RESPONSIBILITIES</w:t>
        </w:r>
        <w:r w:rsidRPr="00814603">
          <w:rPr>
            <w:noProof/>
            <w:webHidden/>
            <w:sz w:val="18"/>
            <w:szCs w:val="18"/>
          </w:rPr>
          <w:tab/>
        </w:r>
        <w:r w:rsidRPr="00814603">
          <w:rPr>
            <w:noProof/>
            <w:webHidden/>
            <w:sz w:val="18"/>
            <w:szCs w:val="18"/>
          </w:rPr>
          <w:fldChar w:fldCharType="begin"/>
        </w:r>
        <w:r w:rsidRPr="00814603">
          <w:rPr>
            <w:noProof/>
            <w:webHidden/>
            <w:sz w:val="18"/>
            <w:szCs w:val="18"/>
          </w:rPr>
          <w:instrText xml:space="preserve"> PAGEREF _Toc209521903 \h </w:instrText>
        </w:r>
        <w:r w:rsidRPr="00814603">
          <w:rPr>
            <w:noProof/>
            <w:webHidden/>
            <w:sz w:val="18"/>
            <w:szCs w:val="18"/>
          </w:rPr>
        </w:r>
        <w:r w:rsidRPr="00814603">
          <w:rPr>
            <w:noProof/>
            <w:webHidden/>
            <w:sz w:val="18"/>
            <w:szCs w:val="18"/>
          </w:rPr>
          <w:fldChar w:fldCharType="separate"/>
        </w:r>
        <w:r w:rsidR="0013146E">
          <w:rPr>
            <w:noProof/>
            <w:webHidden/>
            <w:sz w:val="18"/>
            <w:szCs w:val="18"/>
          </w:rPr>
          <w:t>7</w:t>
        </w:r>
        <w:r w:rsidRPr="00814603">
          <w:rPr>
            <w:noProof/>
            <w:webHidden/>
            <w:sz w:val="18"/>
            <w:szCs w:val="18"/>
          </w:rPr>
          <w:fldChar w:fldCharType="end"/>
        </w:r>
      </w:hyperlink>
    </w:p>
    <w:p w14:paraId="1DF52D0C" w14:textId="4CEDAE64" w:rsidR="00A95E76" w:rsidRPr="00814603" w:rsidRDefault="00A95E76">
      <w:pPr>
        <w:pStyle w:val="TOC2"/>
        <w:rPr>
          <w:rFonts w:asciiTheme="minorHAnsi" w:eastAsiaTheme="minorEastAsia" w:hAnsiTheme="minorHAnsi" w:cstheme="minorBidi"/>
          <w:noProof/>
          <w:color w:val="auto"/>
          <w:kern w:val="2"/>
          <w:sz w:val="18"/>
          <w:szCs w:val="18"/>
          <w:lang w:val="en-ZA" w:eastAsia="en-ZA"/>
          <w14:ligatures w14:val="standardContextual"/>
        </w:rPr>
      </w:pPr>
      <w:hyperlink w:anchor="_Toc209521904" w:history="1">
        <w:r w:rsidRPr="00814603">
          <w:rPr>
            <w:rStyle w:val="Hyperlink"/>
            <w:noProof/>
            <w:sz w:val="18"/>
            <w:szCs w:val="18"/>
          </w:rPr>
          <w:t>7.</w:t>
        </w:r>
        <w:r w:rsidRPr="00814603">
          <w:rPr>
            <w:rFonts w:asciiTheme="minorHAnsi" w:eastAsiaTheme="minorEastAsia" w:hAnsiTheme="minorHAnsi" w:cstheme="minorBidi"/>
            <w:noProof/>
            <w:color w:val="auto"/>
            <w:kern w:val="2"/>
            <w:sz w:val="18"/>
            <w:szCs w:val="18"/>
            <w:lang w:val="en-ZA" w:eastAsia="en-ZA"/>
            <w14:ligatures w14:val="standardContextual"/>
          </w:rPr>
          <w:tab/>
        </w:r>
        <w:r w:rsidRPr="00814603">
          <w:rPr>
            <w:rStyle w:val="Hyperlink"/>
            <w:noProof/>
            <w:sz w:val="18"/>
            <w:szCs w:val="18"/>
          </w:rPr>
          <w:t>POLICY GOVERNANCE</w:t>
        </w:r>
        <w:r w:rsidRPr="00814603">
          <w:rPr>
            <w:noProof/>
            <w:webHidden/>
            <w:sz w:val="18"/>
            <w:szCs w:val="18"/>
          </w:rPr>
          <w:tab/>
        </w:r>
        <w:r w:rsidRPr="00814603">
          <w:rPr>
            <w:noProof/>
            <w:webHidden/>
            <w:sz w:val="18"/>
            <w:szCs w:val="18"/>
          </w:rPr>
          <w:fldChar w:fldCharType="begin"/>
        </w:r>
        <w:r w:rsidRPr="00814603">
          <w:rPr>
            <w:noProof/>
            <w:webHidden/>
            <w:sz w:val="18"/>
            <w:szCs w:val="18"/>
          </w:rPr>
          <w:instrText xml:space="preserve"> PAGEREF _Toc209521904 \h </w:instrText>
        </w:r>
        <w:r w:rsidRPr="00814603">
          <w:rPr>
            <w:noProof/>
            <w:webHidden/>
            <w:sz w:val="18"/>
            <w:szCs w:val="18"/>
          </w:rPr>
        </w:r>
        <w:r w:rsidRPr="00814603">
          <w:rPr>
            <w:noProof/>
            <w:webHidden/>
            <w:sz w:val="18"/>
            <w:szCs w:val="18"/>
          </w:rPr>
          <w:fldChar w:fldCharType="separate"/>
        </w:r>
        <w:r w:rsidR="0013146E">
          <w:rPr>
            <w:noProof/>
            <w:webHidden/>
            <w:sz w:val="18"/>
            <w:szCs w:val="18"/>
          </w:rPr>
          <w:t>7</w:t>
        </w:r>
        <w:r w:rsidRPr="00814603">
          <w:rPr>
            <w:noProof/>
            <w:webHidden/>
            <w:sz w:val="18"/>
            <w:szCs w:val="18"/>
          </w:rPr>
          <w:fldChar w:fldCharType="end"/>
        </w:r>
      </w:hyperlink>
    </w:p>
    <w:p w14:paraId="61CDDDA1" w14:textId="1D4B8455" w:rsidR="00A95E76" w:rsidRPr="00814603" w:rsidRDefault="00A95E76">
      <w:pPr>
        <w:pStyle w:val="TOC2"/>
        <w:rPr>
          <w:rFonts w:asciiTheme="minorHAnsi" w:eastAsiaTheme="minorEastAsia" w:hAnsiTheme="minorHAnsi" w:cstheme="minorBidi"/>
          <w:noProof/>
          <w:color w:val="auto"/>
          <w:kern w:val="2"/>
          <w:sz w:val="18"/>
          <w:szCs w:val="18"/>
          <w:lang w:val="en-ZA" w:eastAsia="en-ZA"/>
          <w14:ligatures w14:val="standardContextual"/>
        </w:rPr>
      </w:pPr>
      <w:hyperlink w:anchor="_Toc209521905" w:history="1">
        <w:r w:rsidRPr="00814603">
          <w:rPr>
            <w:rStyle w:val="Hyperlink"/>
            <w:noProof/>
            <w:sz w:val="18"/>
            <w:szCs w:val="18"/>
          </w:rPr>
          <w:t>APPENDIX A – GOVERNANCE COMMITTEE ACTIONS</w:t>
        </w:r>
        <w:r w:rsidRPr="00814603">
          <w:rPr>
            <w:noProof/>
            <w:webHidden/>
            <w:sz w:val="18"/>
            <w:szCs w:val="18"/>
          </w:rPr>
          <w:tab/>
        </w:r>
        <w:r w:rsidRPr="00814603">
          <w:rPr>
            <w:noProof/>
            <w:webHidden/>
            <w:sz w:val="18"/>
            <w:szCs w:val="18"/>
          </w:rPr>
          <w:fldChar w:fldCharType="begin"/>
        </w:r>
        <w:r w:rsidRPr="00814603">
          <w:rPr>
            <w:noProof/>
            <w:webHidden/>
            <w:sz w:val="18"/>
            <w:szCs w:val="18"/>
          </w:rPr>
          <w:instrText xml:space="preserve"> PAGEREF _Toc209521905 \h </w:instrText>
        </w:r>
        <w:r w:rsidRPr="00814603">
          <w:rPr>
            <w:noProof/>
            <w:webHidden/>
            <w:sz w:val="18"/>
            <w:szCs w:val="18"/>
          </w:rPr>
        </w:r>
        <w:r w:rsidRPr="00814603">
          <w:rPr>
            <w:noProof/>
            <w:webHidden/>
            <w:sz w:val="18"/>
            <w:szCs w:val="18"/>
          </w:rPr>
          <w:fldChar w:fldCharType="separate"/>
        </w:r>
        <w:r w:rsidR="0013146E">
          <w:rPr>
            <w:noProof/>
            <w:webHidden/>
            <w:sz w:val="18"/>
            <w:szCs w:val="18"/>
          </w:rPr>
          <w:t>7</w:t>
        </w:r>
        <w:r w:rsidRPr="00814603">
          <w:rPr>
            <w:noProof/>
            <w:webHidden/>
            <w:sz w:val="18"/>
            <w:szCs w:val="18"/>
          </w:rPr>
          <w:fldChar w:fldCharType="end"/>
        </w:r>
      </w:hyperlink>
    </w:p>
    <w:p w14:paraId="1E2A8DF7" w14:textId="579BF393" w:rsidR="008B28AA" w:rsidRPr="00C7309A" w:rsidRDefault="00F60F5F" w:rsidP="008B28AA">
      <w:pPr>
        <w:ind w:firstLine="200"/>
        <w:rPr>
          <w:rFonts w:asciiTheme="minorHAnsi" w:hAnsiTheme="minorHAnsi"/>
          <w:szCs w:val="20"/>
        </w:rPr>
      </w:pPr>
      <w:r w:rsidRPr="00814603">
        <w:rPr>
          <w:rFonts w:asciiTheme="minorHAnsi" w:eastAsia="Times" w:hAnsiTheme="minorHAnsi"/>
          <w:color w:val="auto"/>
          <w:sz w:val="18"/>
          <w:szCs w:val="18"/>
        </w:rPr>
        <w:fldChar w:fldCharType="end"/>
      </w:r>
    </w:p>
    <w:p w14:paraId="6195040F" w14:textId="77777777" w:rsidR="00A157DB" w:rsidRDefault="00A157DB">
      <w:pPr>
        <w:spacing w:line="240" w:lineRule="auto"/>
        <w:jc w:val="left"/>
        <w:rPr>
          <w:rFonts w:asciiTheme="minorHAnsi" w:hAnsiTheme="minorHAnsi"/>
          <w:szCs w:val="20"/>
        </w:rPr>
      </w:pPr>
      <w:r>
        <w:rPr>
          <w:rFonts w:asciiTheme="minorHAnsi" w:hAnsiTheme="minorHAnsi"/>
          <w:szCs w:val="20"/>
        </w:rPr>
        <w:br w:type="page"/>
      </w:r>
    </w:p>
    <w:p w14:paraId="2CC9B0A8" w14:textId="3F2E96DE" w:rsidR="00A157DB" w:rsidRPr="009104E0" w:rsidRDefault="009104E0" w:rsidP="009104E0">
      <w:pPr>
        <w:pStyle w:val="Heading2"/>
        <w:numPr>
          <w:ilvl w:val="0"/>
          <w:numId w:val="2"/>
        </w:numPr>
        <w:rPr>
          <w:rFonts w:asciiTheme="minorHAnsi" w:hAnsiTheme="minorHAnsi"/>
          <w:sz w:val="20"/>
          <w:szCs w:val="20"/>
        </w:rPr>
      </w:pPr>
      <w:bookmarkStart w:id="0" w:name="_Toc487634200"/>
      <w:bookmarkStart w:id="1" w:name="_Toc492632756"/>
      <w:bookmarkStart w:id="2" w:name="_Toc209521888"/>
      <w:r w:rsidRPr="009104E0">
        <w:rPr>
          <w:rFonts w:asciiTheme="minorHAnsi" w:hAnsiTheme="minorHAnsi"/>
          <w:sz w:val="20"/>
          <w:szCs w:val="20"/>
        </w:rPr>
        <w:t>VERSION CONTROL</w:t>
      </w:r>
      <w:bookmarkEnd w:id="0"/>
      <w:bookmarkEnd w:id="1"/>
      <w:bookmarkEnd w:id="2"/>
      <w:r w:rsidRPr="009104E0">
        <w:rPr>
          <w:rFonts w:asciiTheme="minorHAnsi" w:hAnsiTheme="minorHAnsi"/>
          <w:sz w:val="20"/>
          <w:szCs w:val="20"/>
        </w:rPr>
        <w:t xml:space="preserve"> </w:t>
      </w:r>
    </w:p>
    <w:p w14:paraId="7E7CBA6F" w14:textId="7B361C2C" w:rsidR="0035218F" w:rsidRPr="00DC2FC0" w:rsidRDefault="0035218F" w:rsidP="00DC2FC0">
      <w:pPr>
        <w:spacing w:line="276" w:lineRule="auto"/>
        <w:outlineLvl w:val="0"/>
        <w:rPr>
          <w:rFonts w:asciiTheme="minorHAnsi" w:hAnsiTheme="minorHAnsi"/>
          <w:b/>
          <w:sz w:val="24"/>
          <w:szCs w:val="20"/>
          <w:lang w:val="en-GB"/>
        </w:rPr>
      </w:pPr>
    </w:p>
    <w:tbl>
      <w:tblPr>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dotted" w:sz="4" w:space="0" w:color="808080" w:themeColor="background1" w:themeShade="80"/>
          <w:insideV w:val="dotted" w:sz="6" w:space="0" w:color="auto"/>
        </w:tblBorders>
        <w:tblLook w:val="01E0" w:firstRow="1" w:lastRow="1" w:firstColumn="1" w:lastColumn="1" w:noHBand="0" w:noVBand="0"/>
      </w:tblPr>
      <w:tblGrid>
        <w:gridCol w:w="2962"/>
        <w:gridCol w:w="6646"/>
      </w:tblGrid>
      <w:tr w:rsidR="0035218F" w:rsidRPr="00270706" w14:paraId="10BFDECC" w14:textId="77777777" w:rsidTr="00931FE3">
        <w:trPr>
          <w:jc w:val="center"/>
        </w:trPr>
        <w:tc>
          <w:tcPr>
            <w:tcW w:w="2962" w:type="dxa"/>
            <w:shd w:val="clear" w:color="auto" w:fill="92D050"/>
          </w:tcPr>
          <w:p w14:paraId="4DFFCE29" w14:textId="77777777" w:rsidR="0035218F" w:rsidRPr="00270706" w:rsidRDefault="0035218F" w:rsidP="00931FE3">
            <w:pPr>
              <w:spacing w:line="240" w:lineRule="auto"/>
              <w:jc w:val="left"/>
              <w:rPr>
                <w:b/>
                <w:lang w:val="en-GB"/>
              </w:rPr>
            </w:pPr>
            <w:r w:rsidRPr="00270706">
              <w:rPr>
                <w:b/>
                <w:lang w:val="en-GB"/>
              </w:rPr>
              <w:t>Issue date</w:t>
            </w:r>
          </w:p>
        </w:tc>
        <w:tc>
          <w:tcPr>
            <w:tcW w:w="6646" w:type="dxa"/>
          </w:tcPr>
          <w:p w14:paraId="6994E91D" w14:textId="2EDB538F" w:rsidR="0035218F" w:rsidRPr="006157FB" w:rsidRDefault="0035218F" w:rsidP="00931FE3">
            <w:pPr>
              <w:spacing w:line="240" w:lineRule="auto"/>
              <w:jc w:val="left"/>
              <w:rPr>
                <w:bCs/>
                <w:lang w:val="en-GB"/>
              </w:rPr>
            </w:pPr>
            <w:r w:rsidRPr="006157FB">
              <w:rPr>
                <w:bCs/>
                <w:lang w:val="en-GB"/>
              </w:rPr>
              <w:t xml:space="preserve">July 2015  </w:t>
            </w:r>
          </w:p>
        </w:tc>
      </w:tr>
      <w:tr w:rsidR="0035218F" w:rsidRPr="00270706" w14:paraId="54D2748C" w14:textId="77777777" w:rsidTr="00931FE3">
        <w:trPr>
          <w:jc w:val="center"/>
        </w:trPr>
        <w:tc>
          <w:tcPr>
            <w:tcW w:w="2962" w:type="dxa"/>
            <w:shd w:val="clear" w:color="auto" w:fill="92D050"/>
          </w:tcPr>
          <w:p w14:paraId="2BD2E2BF" w14:textId="77777777" w:rsidR="0035218F" w:rsidRPr="00270706" w:rsidRDefault="0035218F" w:rsidP="00931FE3">
            <w:pPr>
              <w:spacing w:line="240" w:lineRule="auto"/>
              <w:jc w:val="left"/>
              <w:rPr>
                <w:b/>
                <w:lang w:val="en-GB"/>
              </w:rPr>
            </w:pPr>
            <w:r w:rsidRPr="00270706">
              <w:rPr>
                <w:b/>
                <w:lang w:val="en-GB"/>
              </w:rPr>
              <w:t>Owner</w:t>
            </w:r>
          </w:p>
        </w:tc>
        <w:tc>
          <w:tcPr>
            <w:tcW w:w="6646" w:type="dxa"/>
          </w:tcPr>
          <w:p w14:paraId="54517A6C" w14:textId="4B92AA49" w:rsidR="0035218F" w:rsidRPr="006157FB" w:rsidRDefault="0035218F" w:rsidP="00931FE3">
            <w:pPr>
              <w:spacing w:line="240" w:lineRule="auto"/>
              <w:jc w:val="left"/>
              <w:rPr>
                <w:bCs/>
                <w:lang w:val="en-GB"/>
              </w:rPr>
            </w:pPr>
            <w:r w:rsidRPr="006157FB">
              <w:rPr>
                <w:bCs/>
                <w:lang w:val="en-GB"/>
              </w:rPr>
              <w:t xml:space="preserve">JSE Clear </w:t>
            </w:r>
            <w:r w:rsidR="00AF74F0">
              <w:rPr>
                <w:bCs/>
                <w:lang w:val="en-GB"/>
              </w:rPr>
              <w:t>Risk</w:t>
            </w:r>
          </w:p>
        </w:tc>
      </w:tr>
      <w:tr w:rsidR="0035218F" w:rsidRPr="00270706" w14:paraId="2B735FEA" w14:textId="77777777" w:rsidTr="00931FE3">
        <w:trPr>
          <w:jc w:val="center"/>
        </w:trPr>
        <w:tc>
          <w:tcPr>
            <w:tcW w:w="2962" w:type="dxa"/>
            <w:shd w:val="clear" w:color="auto" w:fill="92D050"/>
          </w:tcPr>
          <w:p w14:paraId="28CE0D9B" w14:textId="77777777" w:rsidR="0035218F" w:rsidRPr="00270706" w:rsidRDefault="0035218F" w:rsidP="00931FE3">
            <w:pPr>
              <w:spacing w:line="240" w:lineRule="auto"/>
              <w:jc w:val="left"/>
              <w:rPr>
                <w:b/>
                <w:lang w:val="en-GB"/>
              </w:rPr>
            </w:pPr>
            <w:r w:rsidRPr="00270706">
              <w:rPr>
                <w:b/>
                <w:lang w:val="en-GB"/>
              </w:rPr>
              <w:t>Document type</w:t>
            </w:r>
          </w:p>
        </w:tc>
        <w:tc>
          <w:tcPr>
            <w:tcW w:w="6646" w:type="dxa"/>
          </w:tcPr>
          <w:p w14:paraId="03ECB89F" w14:textId="77777777" w:rsidR="0035218F" w:rsidRPr="006157FB" w:rsidRDefault="0035218F" w:rsidP="00931FE3">
            <w:pPr>
              <w:spacing w:line="240" w:lineRule="auto"/>
              <w:jc w:val="left"/>
              <w:rPr>
                <w:bCs/>
                <w:lang w:val="en-GB"/>
              </w:rPr>
            </w:pPr>
            <w:r w:rsidRPr="006157FB">
              <w:rPr>
                <w:bCs/>
                <w:lang w:val="en-GB"/>
              </w:rPr>
              <w:t xml:space="preserve">Policy </w:t>
            </w:r>
          </w:p>
        </w:tc>
      </w:tr>
      <w:tr w:rsidR="0035218F" w:rsidRPr="00270706" w14:paraId="4ACB919E" w14:textId="77777777" w:rsidTr="00931FE3">
        <w:trPr>
          <w:jc w:val="center"/>
        </w:trPr>
        <w:tc>
          <w:tcPr>
            <w:tcW w:w="2962" w:type="dxa"/>
            <w:shd w:val="clear" w:color="auto" w:fill="92D050"/>
          </w:tcPr>
          <w:p w14:paraId="043357AC" w14:textId="77777777" w:rsidR="0035218F" w:rsidRPr="00270706" w:rsidRDefault="0035218F" w:rsidP="00931FE3">
            <w:pPr>
              <w:spacing w:line="240" w:lineRule="auto"/>
              <w:jc w:val="left"/>
              <w:rPr>
                <w:b/>
                <w:lang w:val="en-GB"/>
              </w:rPr>
            </w:pPr>
            <w:r w:rsidRPr="00270706">
              <w:rPr>
                <w:b/>
                <w:lang w:val="en-GB"/>
              </w:rPr>
              <w:t>Version</w:t>
            </w:r>
          </w:p>
        </w:tc>
        <w:tc>
          <w:tcPr>
            <w:tcW w:w="6646" w:type="dxa"/>
          </w:tcPr>
          <w:p w14:paraId="40B715C9" w14:textId="549B914E" w:rsidR="0035218F" w:rsidRPr="006157FB" w:rsidRDefault="00CE5A08" w:rsidP="00931FE3">
            <w:pPr>
              <w:spacing w:line="240" w:lineRule="auto"/>
              <w:jc w:val="left"/>
              <w:rPr>
                <w:bCs/>
                <w:lang w:val="en-GB"/>
              </w:rPr>
            </w:pPr>
            <w:r w:rsidRPr="006157FB">
              <w:rPr>
                <w:bCs/>
                <w:lang w:val="en-GB"/>
              </w:rPr>
              <w:t>V</w:t>
            </w:r>
            <w:r w:rsidR="00137F21">
              <w:rPr>
                <w:bCs/>
                <w:lang w:val="en-GB"/>
              </w:rPr>
              <w:t>10</w:t>
            </w:r>
            <w:r w:rsidR="0035218F" w:rsidRPr="006157FB">
              <w:rPr>
                <w:bCs/>
                <w:lang w:val="en-GB"/>
              </w:rPr>
              <w:t xml:space="preserve">.0 Final </w:t>
            </w:r>
          </w:p>
        </w:tc>
      </w:tr>
      <w:tr w:rsidR="0035218F" w:rsidRPr="00270706" w14:paraId="0BDAC498" w14:textId="77777777" w:rsidTr="00931FE3">
        <w:trPr>
          <w:jc w:val="center"/>
        </w:trPr>
        <w:tc>
          <w:tcPr>
            <w:tcW w:w="2962" w:type="dxa"/>
            <w:shd w:val="clear" w:color="auto" w:fill="92D050"/>
            <w:vAlign w:val="center"/>
          </w:tcPr>
          <w:p w14:paraId="7E9E2CD1" w14:textId="77777777" w:rsidR="0035218F" w:rsidRPr="00270706" w:rsidRDefault="0035218F" w:rsidP="00931FE3">
            <w:pPr>
              <w:spacing w:line="240" w:lineRule="auto"/>
              <w:jc w:val="left"/>
              <w:rPr>
                <w:b/>
                <w:lang w:val="en-GB"/>
              </w:rPr>
            </w:pPr>
            <w:r w:rsidRPr="00270706">
              <w:rPr>
                <w:b/>
                <w:lang w:val="en-GB"/>
              </w:rPr>
              <w:t>Approved by</w:t>
            </w:r>
          </w:p>
        </w:tc>
        <w:tc>
          <w:tcPr>
            <w:tcW w:w="6646" w:type="dxa"/>
          </w:tcPr>
          <w:p w14:paraId="11E4A6AC" w14:textId="279718D1" w:rsidR="0035218F" w:rsidRPr="006157FB" w:rsidRDefault="0035218F" w:rsidP="00931FE3">
            <w:pPr>
              <w:spacing w:line="240" w:lineRule="auto"/>
              <w:jc w:val="left"/>
              <w:rPr>
                <w:bCs/>
                <w:lang w:val="en-GB"/>
              </w:rPr>
            </w:pPr>
            <w:r w:rsidRPr="006157FB">
              <w:rPr>
                <w:bCs/>
                <w:lang w:val="en-GB"/>
              </w:rPr>
              <w:t xml:space="preserve">JSE Clear Risk Committee </w:t>
            </w:r>
            <w:r w:rsidR="00180C7D">
              <w:rPr>
                <w:bCs/>
                <w:lang w:val="en-GB"/>
              </w:rPr>
              <w:t xml:space="preserve">for annual reviews, and </w:t>
            </w:r>
            <w:r w:rsidRPr="006157FB">
              <w:rPr>
                <w:bCs/>
                <w:lang w:val="en-GB"/>
              </w:rPr>
              <w:t xml:space="preserve">JSE Clear Board </w:t>
            </w:r>
            <w:r w:rsidR="00180C7D">
              <w:rPr>
                <w:bCs/>
                <w:lang w:val="en-GB"/>
              </w:rPr>
              <w:t>to approve initial version</w:t>
            </w:r>
          </w:p>
        </w:tc>
      </w:tr>
    </w:tbl>
    <w:p w14:paraId="7F4A627C" w14:textId="77777777" w:rsidR="008318DE" w:rsidRDefault="008318DE" w:rsidP="008318DE">
      <w:pPr>
        <w:pStyle w:val="Heading2"/>
        <w:ind w:left="720"/>
        <w:rPr>
          <w:rFonts w:asciiTheme="minorHAnsi" w:hAnsiTheme="minorHAnsi"/>
          <w:sz w:val="20"/>
          <w:szCs w:val="20"/>
        </w:rPr>
      </w:pPr>
    </w:p>
    <w:p w14:paraId="1CC81A85" w14:textId="77777777" w:rsidR="008318DE" w:rsidRDefault="008318DE" w:rsidP="008318DE">
      <w:pPr>
        <w:pStyle w:val="Heading2"/>
        <w:ind w:left="720"/>
        <w:rPr>
          <w:rFonts w:asciiTheme="minorHAnsi" w:hAnsiTheme="minorHAnsi"/>
          <w:sz w:val="20"/>
          <w:szCs w:val="20"/>
        </w:rPr>
      </w:pPr>
    </w:p>
    <w:p w14:paraId="2ED9DB69" w14:textId="63B11D90" w:rsidR="0035218F" w:rsidRPr="009104E0" w:rsidRDefault="009104E0" w:rsidP="009104E0">
      <w:pPr>
        <w:pStyle w:val="Heading2"/>
        <w:numPr>
          <w:ilvl w:val="0"/>
          <w:numId w:val="2"/>
        </w:numPr>
        <w:rPr>
          <w:rFonts w:asciiTheme="minorHAnsi" w:hAnsiTheme="minorHAnsi"/>
          <w:sz w:val="20"/>
          <w:szCs w:val="20"/>
        </w:rPr>
      </w:pPr>
      <w:bookmarkStart w:id="3" w:name="_Toc209521889"/>
      <w:r w:rsidRPr="009104E0">
        <w:rPr>
          <w:rFonts w:asciiTheme="minorHAnsi" w:hAnsiTheme="minorHAnsi"/>
          <w:sz w:val="20"/>
          <w:szCs w:val="20"/>
        </w:rPr>
        <w:t>VERSION HISTORY</w:t>
      </w:r>
      <w:bookmarkEnd w:id="3"/>
      <w:r w:rsidRPr="009104E0">
        <w:rPr>
          <w:rFonts w:asciiTheme="minorHAnsi" w:hAnsiTheme="minorHAnsi"/>
          <w:sz w:val="20"/>
          <w:szCs w:val="20"/>
        </w:rPr>
        <w:t xml:space="preserve"> </w:t>
      </w:r>
    </w:p>
    <w:p w14:paraId="4576D2C8" w14:textId="7FAAC780" w:rsidR="0035218F" w:rsidRDefault="0035218F" w:rsidP="0035218F"/>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dotted" w:sz="6" w:space="0" w:color="auto"/>
          <w:insideV w:val="dotted" w:sz="6" w:space="0" w:color="auto"/>
        </w:tblBorders>
        <w:tblLook w:val="01E0" w:firstRow="1" w:lastRow="1" w:firstColumn="1" w:lastColumn="1" w:noHBand="0" w:noVBand="0"/>
      </w:tblPr>
      <w:tblGrid>
        <w:gridCol w:w="1264"/>
        <w:gridCol w:w="1935"/>
        <w:gridCol w:w="3697"/>
        <w:gridCol w:w="2732"/>
      </w:tblGrid>
      <w:tr w:rsidR="0035218F" w:rsidRPr="00270706" w14:paraId="11682DB3" w14:textId="77777777" w:rsidTr="00EE030B">
        <w:trPr>
          <w:jc w:val="center"/>
        </w:trPr>
        <w:tc>
          <w:tcPr>
            <w:tcW w:w="656" w:type="pct"/>
            <w:shd w:val="clear" w:color="auto" w:fill="92D050"/>
          </w:tcPr>
          <w:p w14:paraId="396DC3C6" w14:textId="77777777" w:rsidR="0035218F" w:rsidRPr="00270706" w:rsidRDefault="0035218F" w:rsidP="00931FE3">
            <w:pPr>
              <w:spacing w:line="240" w:lineRule="auto"/>
              <w:jc w:val="left"/>
              <w:rPr>
                <w:b/>
                <w:lang w:val="en-GB"/>
              </w:rPr>
            </w:pPr>
            <w:r w:rsidRPr="00270706">
              <w:rPr>
                <w:b/>
                <w:lang w:val="en-GB"/>
              </w:rPr>
              <w:t>Version</w:t>
            </w:r>
          </w:p>
        </w:tc>
        <w:tc>
          <w:tcPr>
            <w:tcW w:w="1005" w:type="pct"/>
            <w:shd w:val="clear" w:color="auto" w:fill="92D050"/>
          </w:tcPr>
          <w:p w14:paraId="42FC42FE" w14:textId="77777777" w:rsidR="0035218F" w:rsidRPr="00270706" w:rsidRDefault="0035218F" w:rsidP="00931FE3">
            <w:pPr>
              <w:spacing w:line="240" w:lineRule="auto"/>
              <w:jc w:val="left"/>
              <w:rPr>
                <w:b/>
                <w:lang w:val="en-GB"/>
              </w:rPr>
            </w:pPr>
            <w:r w:rsidRPr="00270706">
              <w:rPr>
                <w:b/>
                <w:lang w:val="en-GB"/>
              </w:rPr>
              <w:t>Date</w:t>
            </w:r>
          </w:p>
        </w:tc>
        <w:tc>
          <w:tcPr>
            <w:tcW w:w="1920" w:type="pct"/>
            <w:shd w:val="clear" w:color="auto" w:fill="92D050"/>
          </w:tcPr>
          <w:p w14:paraId="62A2EFB9" w14:textId="77777777" w:rsidR="0035218F" w:rsidRPr="00270706" w:rsidRDefault="0035218F" w:rsidP="00931FE3">
            <w:pPr>
              <w:spacing w:line="240" w:lineRule="auto"/>
              <w:jc w:val="left"/>
              <w:rPr>
                <w:b/>
                <w:lang w:val="en-GB"/>
              </w:rPr>
            </w:pPr>
            <w:r w:rsidRPr="00270706">
              <w:rPr>
                <w:b/>
                <w:lang w:val="en-GB"/>
              </w:rPr>
              <w:t>Summary of changes</w:t>
            </w:r>
          </w:p>
        </w:tc>
        <w:tc>
          <w:tcPr>
            <w:tcW w:w="1419" w:type="pct"/>
            <w:shd w:val="clear" w:color="auto" w:fill="92D050"/>
          </w:tcPr>
          <w:p w14:paraId="1FD38A2A" w14:textId="77777777" w:rsidR="0035218F" w:rsidRPr="00270706" w:rsidRDefault="0035218F" w:rsidP="00931FE3">
            <w:pPr>
              <w:spacing w:line="240" w:lineRule="auto"/>
              <w:jc w:val="left"/>
              <w:rPr>
                <w:b/>
                <w:lang w:val="en-GB"/>
              </w:rPr>
            </w:pPr>
            <w:r w:rsidRPr="00270706">
              <w:rPr>
                <w:b/>
                <w:lang w:val="en-GB"/>
              </w:rPr>
              <w:t>Author</w:t>
            </w:r>
          </w:p>
        </w:tc>
      </w:tr>
      <w:tr w:rsidR="0035218F" w:rsidRPr="00270706" w14:paraId="5BB269BC" w14:textId="77777777" w:rsidTr="00EE030B">
        <w:trPr>
          <w:jc w:val="center"/>
        </w:trPr>
        <w:tc>
          <w:tcPr>
            <w:tcW w:w="656" w:type="pct"/>
          </w:tcPr>
          <w:p w14:paraId="64ADE798" w14:textId="77777777" w:rsidR="0035218F" w:rsidRPr="00270706" w:rsidRDefault="0035218F" w:rsidP="00931FE3">
            <w:pPr>
              <w:spacing w:line="240" w:lineRule="auto"/>
              <w:jc w:val="left"/>
              <w:rPr>
                <w:lang w:val="en-GB"/>
              </w:rPr>
            </w:pPr>
            <w:r>
              <w:rPr>
                <w:lang w:val="en-GB"/>
              </w:rPr>
              <w:t xml:space="preserve">1.0 </w:t>
            </w:r>
          </w:p>
        </w:tc>
        <w:tc>
          <w:tcPr>
            <w:tcW w:w="1005" w:type="pct"/>
          </w:tcPr>
          <w:p w14:paraId="7E9A9B90" w14:textId="2C0FCEAC" w:rsidR="0035218F" w:rsidRPr="00270706" w:rsidRDefault="0035218F" w:rsidP="00931FE3">
            <w:pPr>
              <w:spacing w:line="240" w:lineRule="auto"/>
              <w:jc w:val="left"/>
              <w:rPr>
                <w:lang w:val="en-GB"/>
              </w:rPr>
            </w:pPr>
            <w:r>
              <w:rPr>
                <w:lang w:val="en-GB"/>
              </w:rPr>
              <w:t xml:space="preserve">July 2015 </w:t>
            </w:r>
          </w:p>
        </w:tc>
        <w:tc>
          <w:tcPr>
            <w:tcW w:w="1920" w:type="pct"/>
          </w:tcPr>
          <w:p w14:paraId="0C4EF25B" w14:textId="48FE057F" w:rsidR="0035218F" w:rsidRPr="00270706" w:rsidRDefault="0035218F" w:rsidP="00931FE3">
            <w:pPr>
              <w:spacing w:line="240" w:lineRule="auto"/>
              <w:jc w:val="left"/>
              <w:rPr>
                <w:lang w:val="en-GB"/>
              </w:rPr>
            </w:pPr>
            <w:r>
              <w:rPr>
                <w:lang w:val="en-GB"/>
              </w:rPr>
              <w:t>Approval of policy</w:t>
            </w:r>
            <w:r w:rsidR="000F2FD4">
              <w:rPr>
                <w:lang w:val="en-GB"/>
              </w:rPr>
              <w:t>.</w:t>
            </w:r>
          </w:p>
        </w:tc>
        <w:tc>
          <w:tcPr>
            <w:tcW w:w="1419" w:type="pct"/>
          </w:tcPr>
          <w:p w14:paraId="4BB43718" w14:textId="2027D343" w:rsidR="0035218F" w:rsidRPr="00270706" w:rsidRDefault="0035218F" w:rsidP="00931FE3">
            <w:pPr>
              <w:spacing w:line="240" w:lineRule="auto"/>
              <w:jc w:val="left"/>
              <w:rPr>
                <w:lang w:val="en-GB"/>
              </w:rPr>
            </w:pPr>
            <w:r>
              <w:rPr>
                <w:lang w:val="en-GB"/>
              </w:rPr>
              <w:t xml:space="preserve">JSE Clear Risk </w:t>
            </w:r>
          </w:p>
        </w:tc>
      </w:tr>
      <w:tr w:rsidR="0035218F" w:rsidRPr="00270706" w14:paraId="23D3122A" w14:textId="77777777" w:rsidTr="00EE030B">
        <w:trPr>
          <w:jc w:val="center"/>
        </w:trPr>
        <w:tc>
          <w:tcPr>
            <w:tcW w:w="656" w:type="pct"/>
          </w:tcPr>
          <w:p w14:paraId="668F3F37" w14:textId="77777777" w:rsidR="0035218F" w:rsidRPr="00270706" w:rsidRDefault="0035218F" w:rsidP="00931FE3">
            <w:pPr>
              <w:spacing w:line="240" w:lineRule="auto"/>
              <w:jc w:val="left"/>
              <w:rPr>
                <w:lang w:val="en-GB"/>
              </w:rPr>
            </w:pPr>
            <w:r>
              <w:rPr>
                <w:lang w:val="en-GB"/>
              </w:rPr>
              <w:t xml:space="preserve">2.0 </w:t>
            </w:r>
          </w:p>
        </w:tc>
        <w:tc>
          <w:tcPr>
            <w:tcW w:w="1005" w:type="pct"/>
          </w:tcPr>
          <w:p w14:paraId="20790CBB" w14:textId="53DC30CE" w:rsidR="0035218F" w:rsidRPr="00270706" w:rsidRDefault="0035218F" w:rsidP="00931FE3">
            <w:pPr>
              <w:spacing w:line="240" w:lineRule="auto"/>
              <w:jc w:val="left"/>
              <w:rPr>
                <w:lang w:val="en-GB"/>
              </w:rPr>
            </w:pPr>
            <w:r>
              <w:rPr>
                <w:lang w:val="en-GB"/>
              </w:rPr>
              <w:t xml:space="preserve">September 2017 </w:t>
            </w:r>
          </w:p>
        </w:tc>
        <w:tc>
          <w:tcPr>
            <w:tcW w:w="1920" w:type="pct"/>
          </w:tcPr>
          <w:p w14:paraId="5EEA1D0D" w14:textId="5425BC57" w:rsidR="0035218F" w:rsidRPr="00270706" w:rsidRDefault="0035218F" w:rsidP="00931FE3">
            <w:pPr>
              <w:spacing w:line="240" w:lineRule="auto"/>
              <w:jc w:val="left"/>
              <w:rPr>
                <w:lang w:val="en-GB"/>
              </w:rPr>
            </w:pPr>
            <w:r w:rsidRPr="0035218F">
              <w:rPr>
                <w:lang w:val="en-GB"/>
              </w:rPr>
              <w:t>Minor wording updates</w:t>
            </w:r>
            <w:r w:rsidR="000F2FD4">
              <w:rPr>
                <w:lang w:val="en-GB"/>
              </w:rPr>
              <w:t>.</w:t>
            </w:r>
          </w:p>
        </w:tc>
        <w:tc>
          <w:tcPr>
            <w:tcW w:w="1419" w:type="pct"/>
          </w:tcPr>
          <w:p w14:paraId="566961A0" w14:textId="32E08662" w:rsidR="0035218F" w:rsidRPr="00270706" w:rsidRDefault="0035218F" w:rsidP="00931FE3">
            <w:pPr>
              <w:spacing w:line="240" w:lineRule="auto"/>
              <w:jc w:val="left"/>
              <w:rPr>
                <w:lang w:val="en-GB"/>
              </w:rPr>
            </w:pPr>
            <w:r>
              <w:rPr>
                <w:lang w:val="en-GB"/>
              </w:rPr>
              <w:t xml:space="preserve">JSE Clear Risk </w:t>
            </w:r>
          </w:p>
        </w:tc>
      </w:tr>
      <w:tr w:rsidR="0035218F" w:rsidRPr="00270706" w14:paraId="3BC4A611" w14:textId="77777777" w:rsidTr="00EE030B">
        <w:trPr>
          <w:jc w:val="center"/>
        </w:trPr>
        <w:tc>
          <w:tcPr>
            <w:tcW w:w="656" w:type="pct"/>
          </w:tcPr>
          <w:p w14:paraId="736CA355" w14:textId="77777777" w:rsidR="0035218F" w:rsidRPr="00270706" w:rsidRDefault="0035218F" w:rsidP="00931FE3">
            <w:pPr>
              <w:spacing w:line="240" w:lineRule="auto"/>
              <w:jc w:val="left"/>
              <w:rPr>
                <w:lang w:val="en-GB"/>
              </w:rPr>
            </w:pPr>
            <w:r>
              <w:rPr>
                <w:lang w:val="en-GB"/>
              </w:rPr>
              <w:t xml:space="preserve">3.0 </w:t>
            </w:r>
          </w:p>
        </w:tc>
        <w:tc>
          <w:tcPr>
            <w:tcW w:w="1005" w:type="pct"/>
          </w:tcPr>
          <w:p w14:paraId="29C2D80F" w14:textId="3C1984E2" w:rsidR="0035218F" w:rsidRPr="00270706" w:rsidRDefault="0035218F" w:rsidP="00931FE3">
            <w:pPr>
              <w:spacing w:line="240" w:lineRule="auto"/>
              <w:jc w:val="left"/>
              <w:rPr>
                <w:lang w:val="en-GB"/>
              </w:rPr>
            </w:pPr>
            <w:r>
              <w:rPr>
                <w:lang w:val="en-GB"/>
              </w:rPr>
              <w:t>October 2018</w:t>
            </w:r>
          </w:p>
        </w:tc>
        <w:tc>
          <w:tcPr>
            <w:tcW w:w="1920" w:type="pct"/>
          </w:tcPr>
          <w:p w14:paraId="32E78BBF" w14:textId="7F78597E" w:rsidR="0035218F" w:rsidRPr="00270706" w:rsidRDefault="0035218F" w:rsidP="00931FE3">
            <w:pPr>
              <w:spacing w:line="240" w:lineRule="auto"/>
              <w:jc w:val="left"/>
              <w:rPr>
                <w:lang w:val="en-GB"/>
              </w:rPr>
            </w:pPr>
            <w:r>
              <w:rPr>
                <w:lang w:val="en-GB"/>
              </w:rPr>
              <w:t>Review</w:t>
            </w:r>
            <w:r w:rsidR="000F2FD4">
              <w:rPr>
                <w:lang w:val="en-GB"/>
              </w:rPr>
              <w:t>.</w:t>
            </w:r>
          </w:p>
        </w:tc>
        <w:tc>
          <w:tcPr>
            <w:tcW w:w="1419" w:type="pct"/>
          </w:tcPr>
          <w:p w14:paraId="77E8DF1F" w14:textId="6A903DA8" w:rsidR="0035218F" w:rsidRPr="00270706" w:rsidRDefault="0035218F" w:rsidP="00931FE3">
            <w:pPr>
              <w:spacing w:line="240" w:lineRule="auto"/>
              <w:jc w:val="left"/>
              <w:rPr>
                <w:lang w:val="en-GB"/>
              </w:rPr>
            </w:pPr>
            <w:r>
              <w:rPr>
                <w:lang w:val="en-GB"/>
              </w:rPr>
              <w:t xml:space="preserve">JSE Clear Risk </w:t>
            </w:r>
          </w:p>
        </w:tc>
      </w:tr>
      <w:tr w:rsidR="0035218F" w14:paraId="535041D5" w14:textId="77777777" w:rsidTr="00EE030B">
        <w:trPr>
          <w:jc w:val="center"/>
        </w:trPr>
        <w:tc>
          <w:tcPr>
            <w:tcW w:w="656" w:type="pct"/>
          </w:tcPr>
          <w:p w14:paraId="0223B31F" w14:textId="77777777" w:rsidR="0035218F" w:rsidRDefault="0035218F" w:rsidP="00931FE3">
            <w:pPr>
              <w:spacing w:line="240" w:lineRule="auto"/>
              <w:jc w:val="left"/>
              <w:rPr>
                <w:lang w:val="en-GB"/>
              </w:rPr>
            </w:pPr>
            <w:r>
              <w:rPr>
                <w:lang w:val="en-GB"/>
              </w:rPr>
              <w:t>4.0</w:t>
            </w:r>
          </w:p>
        </w:tc>
        <w:tc>
          <w:tcPr>
            <w:tcW w:w="1005" w:type="pct"/>
          </w:tcPr>
          <w:p w14:paraId="2E9B50AE" w14:textId="07768BCC" w:rsidR="0035218F" w:rsidRDefault="0035218F" w:rsidP="00931FE3">
            <w:pPr>
              <w:spacing w:line="240" w:lineRule="auto"/>
              <w:jc w:val="left"/>
              <w:rPr>
                <w:lang w:val="en-GB"/>
              </w:rPr>
            </w:pPr>
            <w:r>
              <w:rPr>
                <w:lang w:val="en-GB"/>
              </w:rPr>
              <w:t xml:space="preserve">March 2019 </w:t>
            </w:r>
          </w:p>
        </w:tc>
        <w:tc>
          <w:tcPr>
            <w:tcW w:w="1920" w:type="pct"/>
          </w:tcPr>
          <w:p w14:paraId="1772E155" w14:textId="61D9B7FE" w:rsidR="0035218F" w:rsidRDefault="0035218F" w:rsidP="00931FE3">
            <w:pPr>
              <w:spacing w:line="240" w:lineRule="auto"/>
              <w:jc w:val="left"/>
              <w:rPr>
                <w:lang w:val="en-GB"/>
              </w:rPr>
            </w:pPr>
            <w:r w:rsidRPr="0035218F">
              <w:rPr>
                <w:lang w:val="en-GB"/>
              </w:rPr>
              <w:t>Remove provisions for JSE</w:t>
            </w:r>
            <w:r w:rsidR="00180C7D">
              <w:rPr>
                <w:lang w:val="en-GB"/>
              </w:rPr>
              <w:t xml:space="preserve"> </w:t>
            </w:r>
            <w:r w:rsidRPr="0035218F">
              <w:rPr>
                <w:lang w:val="en-GB"/>
              </w:rPr>
              <w:t>C</w:t>
            </w:r>
            <w:r w:rsidR="00180C7D">
              <w:rPr>
                <w:lang w:val="en-GB"/>
              </w:rPr>
              <w:t>lear</w:t>
            </w:r>
            <w:r w:rsidRPr="0035218F">
              <w:rPr>
                <w:lang w:val="en-GB"/>
              </w:rPr>
              <w:t xml:space="preserve"> to fund payment obligations on behalf of </w:t>
            </w:r>
            <w:r w:rsidR="00063F76">
              <w:rPr>
                <w:lang w:val="en-GB"/>
              </w:rPr>
              <w:t>C</w:t>
            </w:r>
            <w:r w:rsidRPr="0035218F">
              <w:rPr>
                <w:lang w:val="en-GB"/>
              </w:rPr>
              <w:t xml:space="preserve">learing </w:t>
            </w:r>
            <w:r w:rsidR="00063F76">
              <w:rPr>
                <w:lang w:val="en-GB"/>
              </w:rPr>
              <w:t>M</w:t>
            </w:r>
            <w:r w:rsidRPr="0035218F">
              <w:rPr>
                <w:lang w:val="en-GB"/>
              </w:rPr>
              <w:t>embers experiencing operational difficulties.</w:t>
            </w:r>
          </w:p>
        </w:tc>
        <w:tc>
          <w:tcPr>
            <w:tcW w:w="1419" w:type="pct"/>
          </w:tcPr>
          <w:p w14:paraId="2D3B3440" w14:textId="3A9A50FD" w:rsidR="0035218F" w:rsidRDefault="0035218F" w:rsidP="00931FE3">
            <w:pPr>
              <w:spacing w:line="240" w:lineRule="auto"/>
              <w:jc w:val="left"/>
              <w:rPr>
                <w:lang w:val="en-GB"/>
              </w:rPr>
            </w:pPr>
            <w:r>
              <w:rPr>
                <w:lang w:val="en-GB"/>
              </w:rPr>
              <w:t xml:space="preserve">JSE Clear Risk </w:t>
            </w:r>
          </w:p>
        </w:tc>
      </w:tr>
      <w:tr w:rsidR="0035218F" w14:paraId="18D1845A" w14:textId="77777777" w:rsidTr="00EE030B">
        <w:trPr>
          <w:jc w:val="center"/>
        </w:trPr>
        <w:tc>
          <w:tcPr>
            <w:tcW w:w="656" w:type="pct"/>
          </w:tcPr>
          <w:p w14:paraId="0BEB76AF" w14:textId="7642DEF1" w:rsidR="0035218F" w:rsidRDefault="0035218F" w:rsidP="00931FE3">
            <w:pPr>
              <w:spacing w:line="240" w:lineRule="auto"/>
              <w:jc w:val="left"/>
              <w:rPr>
                <w:lang w:val="en-GB"/>
              </w:rPr>
            </w:pPr>
            <w:r>
              <w:rPr>
                <w:lang w:val="en-GB"/>
              </w:rPr>
              <w:t>5.0</w:t>
            </w:r>
          </w:p>
        </w:tc>
        <w:tc>
          <w:tcPr>
            <w:tcW w:w="1005" w:type="pct"/>
          </w:tcPr>
          <w:p w14:paraId="6334D46A" w14:textId="3656369B" w:rsidR="0035218F" w:rsidRDefault="00CD759A" w:rsidP="00931FE3">
            <w:pPr>
              <w:spacing w:line="240" w:lineRule="auto"/>
              <w:jc w:val="left"/>
              <w:rPr>
                <w:lang w:val="en-GB"/>
              </w:rPr>
            </w:pPr>
            <w:r>
              <w:rPr>
                <w:lang w:val="en-GB"/>
              </w:rPr>
              <w:t>November</w:t>
            </w:r>
            <w:r w:rsidR="0035218F">
              <w:rPr>
                <w:lang w:val="en-GB"/>
              </w:rPr>
              <w:t xml:space="preserve"> 2020</w:t>
            </w:r>
          </w:p>
        </w:tc>
        <w:tc>
          <w:tcPr>
            <w:tcW w:w="1920" w:type="pct"/>
          </w:tcPr>
          <w:p w14:paraId="7CC5D33A" w14:textId="4036DFDC" w:rsidR="0035218F" w:rsidRPr="0035218F" w:rsidRDefault="0035218F" w:rsidP="00931FE3">
            <w:pPr>
              <w:spacing w:line="240" w:lineRule="auto"/>
              <w:jc w:val="left"/>
              <w:rPr>
                <w:lang w:val="en-GB"/>
              </w:rPr>
            </w:pPr>
            <w:r>
              <w:rPr>
                <w:lang w:val="en-GB"/>
              </w:rPr>
              <w:t>Minor updates</w:t>
            </w:r>
            <w:r w:rsidR="000F2FD4">
              <w:rPr>
                <w:lang w:val="en-GB"/>
              </w:rPr>
              <w:t>.</w:t>
            </w:r>
          </w:p>
        </w:tc>
        <w:tc>
          <w:tcPr>
            <w:tcW w:w="1419" w:type="pct"/>
          </w:tcPr>
          <w:p w14:paraId="4C45476A" w14:textId="4D21D685" w:rsidR="0035218F" w:rsidRDefault="00B92DE2" w:rsidP="00931FE3">
            <w:pPr>
              <w:spacing w:line="240" w:lineRule="auto"/>
              <w:jc w:val="left"/>
              <w:rPr>
                <w:lang w:val="en-GB"/>
              </w:rPr>
            </w:pPr>
            <w:r>
              <w:rPr>
                <w:lang w:val="en-GB"/>
              </w:rPr>
              <w:t xml:space="preserve">JSE Clear Risk </w:t>
            </w:r>
          </w:p>
        </w:tc>
      </w:tr>
      <w:tr w:rsidR="00F84F79" w14:paraId="7A62656B" w14:textId="77777777" w:rsidTr="00EE030B">
        <w:trPr>
          <w:jc w:val="center"/>
        </w:trPr>
        <w:tc>
          <w:tcPr>
            <w:tcW w:w="656" w:type="pct"/>
          </w:tcPr>
          <w:p w14:paraId="6E660300" w14:textId="008F0E48" w:rsidR="00F84F79" w:rsidRDefault="00F84F79" w:rsidP="00F84F79">
            <w:pPr>
              <w:spacing w:line="240" w:lineRule="auto"/>
              <w:jc w:val="left"/>
              <w:rPr>
                <w:lang w:val="en-GB"/>
              </w:rPr>
            </w:pPr>
            <w:r>
              <w:rPr>
                <w:lang w:val="en-GB"/>
              </w:rPr>
              <w:t>6.0</w:t>
            </w:r>
          </w:p>
        </w:tc>
        <w:tc>
          <w:tcPr>
            <w:tcW w:w="1005" w:type="pct"/>
          </w:tcPr>
          <w:p w14:paraId="5A8E01B2" w14:textId="03EA6DDF" w:rsidR="00F84F79" w:rsidRDefault="00F84F79" w:rsidP="00F84F79">
            <w:pPr>
              <w:spacing w:line="240" w:lineRule="auto"/>
              <w:jc w:val="left"/>
              <w:rPr>
                <w:lang w:val="en-GB"/>
              </w:rPr>
            </w:pPr>
            <w:r>
              <w:rPr>
                <w:lang w:val="en-GB"/>
              </w:rPr>
              <w:t>October 2021</w:t>
            </w:r>
          </w:p>
        </w:tc>
        <w:tc>
          <w:tcPr>
            <w:tcW w:w="1920" w:type="pct"/>
          </w:tcPr>
          <w:p w14:paraId="14E3FCAF" w14:textId="1436C195" w:rsidR="00F84F79" w:rsidRDefault="00FF651F" w:rsidP="00F84F79">
            <w:pPr>
              <w:spacing w:line="240" w:lineRule="auto"/>
              <w:jc w:val="left"/>
              <w:rPr>
                <w:lang w:val="en-GB"/>
              </w:rPr>
            </w:pPr>
            <w:r w:rsidRPr="0035218F">
              <w:rPr>
                <w:lang w:val="en-GB"/>
              </w:rPr>
              <w:t>Minor wording updates</w:t>
            </w:r>
            <w:r w:rsidR="000F2FD4">
              <w:rPr>
                <w:lang w:val="en-GB"/>
              </w:rPr>
              <w:t>.</w:t>
            </w:r>
          </w:p>
        </w:tc>
        <w:tc>
          <w:tcPr>
            <w:tcW w:w="1419" w:type="pct"/>
          </w:tcPr>
          <w:p w14:paraId="09617216" w14:textId="262F99A4" w:rsidR="00F84F79" w:rsidRDefault="00F84F79" w:rsidP="00F84F79">
            <w:pPr>
              <w:spacing w:line="240" w:lineRule="auto"/>
              <w:jc w:val="left"/>
              <w:rPr>
                <w:lang w:val="en-GB"/>
              </w:rPr>
            </w:pPr>
            <w:r>
              <w:rPr>
                <w:lang w:val="en-GB"/>
              </w:rPr>
              <w:t xml:space="preserve">JSE Clear Risk </w:t>
            </w:r>
          </w:p>
        </w:tc>
      </w:tr>
      <w:tr w:rsidR="007128B2" w14:paraId="5D214A32" w14:textId="77777777" w:rsidTr="00EE030B">
        <w:trPr>
          <w:jc w:val="center"/>
        </w:trPr>
        <w:tc>
          <w:tcPr>
            <w:tcW w:w="656" w:type="pct"/>
          </w:tcPr>
          <w:p w14:paraId="15466207" w14:textId="3C62FE89" w:rsidR="007128B2" w:rsidRDefault="007128B2" w:rsidP="00F84F79">
            <w:pPr>
              <w:spacing w:line="240" w:lineRule="auto"/>
              <w:jc w:val="left"/>
              <w:rPr>
                <w:lang w:val="en-GB"/>
              </w:rPr>
            </w:pPr>
            <w:r>
              <w:rPr>
                <w:lang w:val="en-GB"/>
              </w:rPr>
              <w:t>7.0</w:t>
            </w:r>
          </w:p>
        </w:tc>
        <w:tc>
          <w:tcPr>
            <w:tcW w:w="1005" w:type="pct"/>
          </w:tcPr>
          <w:p w14:paraId="482B6781" w14:textId="1C782896" w:rsidR="007128B2" w:rsidRDefault="00F36146" w:rsidP="00F84F79">
            <w:pPr>
              <w:spacing w:line="240" w:lineRule="auto"/>
              <w:jc w:val="left"/>
              <w:rPr>
                <w:lang w:val="en-GB"/>
              </w:rPr>
            </w:pPr>
            <w:r>
              <w:rPr>
                <w:lang w:val="en-GB"/>
              </w:rPr>
              <w:t xml:space="preserve">July </w:t>
            </w:r>
            <w:r w:rsidR="007128B2">
              <w:rPr>
                <w:lang w:val="en-GB"/>
              </w:rPr>
              <w:t>2022</w:t>
            </w:r>
          </w:p>
        </w:tc>
        <w:tc>
          <w:tcPr>
            <w:tcW w:w="1920" w:type="pct"/>
          </w:tcPr>
          <w:p w14:paraId="442EAC36" w14:textId="13AD2F9F" w:rsidR="007128B2" w:rsidRPr="0035218F" w:rsidRDefault="00F36146" w:rsidP="00F84F79">
            <w:pPr>
              <w:spacing w:line="240" w:lineRule="auto"/>
              <w:jc w:val="left"/>
              <w:rPr>
                <w:lang w:val="en-GB"/>
              </w:rPr>
            </w:pPr>
            <w:r>
              <w:rPr>
                <w:lang w:val="en-GB"/>
              </w:rPr>
              <w:t>Regular review and u</w:t>
            </w:r>
            <w:r w:rsidR="00077049">
              <w:rPr>
                <w:lang w:val="en-GB"/>
              </w:rPr>
              <w:t>pdates relating to the acceptance securities collateral</w:t>
            </w:r>
            <w:r w:rsidR="000F2FD4">
              <w:rPr>
                <w:lang w:val="en-GB"/>
              </w:rPr>
              <w:t>.</w:t>
            </w:r>
          </w:p>
        </w:tc>
        <w:tc>
          <w:tcPr>
            <w:tcW w:w="1419" w:type="pct"/>
          </w:tcPr>
          <w:p w14:paraId="4D91601E" w14:textId="0B25DC95" w:rsidR="007128B2" w:rsidRDefault="00077049" w:rsidP="00F84F79">
            <w:pPr>
              <w:spacing w:line="240" w:lineRule="auto"/>
              <w:jc w:val="left"/>
              <w:rPr>
                <w:lang w:val="en-GB"/>
              </w:rPr>
            </w:pPr>
            <w:r>
              <w:rPr>
                <w:lang w:val="en-GB"/>
              </w:rPr>
              <w:t xml:space="preserve">JSE Clear Risk </w:t>
            </w:r>
          </w:p>
        </w:tc>
      </w:tr>
      <w:tr w:rsidR="000C6F57" w14:paraId="0D69948C" w14:textId="77777777" w:rsidTr="00EE030B">
        <w:trPr>
          <w:jc w:val="center"/>
        </w:trPr>
        <w:tc>
          <w:tcPr>
            <w:tcW w:w="656" w:type="pct"/>
          </w:tcPr>
          <w:p w14:paraId="5DD954B2" w14:textId="366922BB" w:rsidR="000C6F57" w:rsidRDefault="000C6F57" w:rsidP="00F84F79">
            <w:pPr>
              <w:spacing w:line="240" w:lineRule="auto"/>
              <w:jc w:val="left"/>
              <w:rPr>
                <w:lang w:val="en-GB"/>
              </w:rPr>
            </w:pPr>
            <w:r>
              <w:rPr>
                <w:lang w:val="en-GB"/>
              </w:rPr>
              <w:t>8.0</w:t>
            </w:r>
          </w:p>
        </w:tc>
        <w:tc>
          <w:tcPr>
            <w:tcW w:w="1005" w:type="pct"/>
          </w:tcPr>
          <w:p w14:paraId="759320D4" w14:textId="3BFDC1D0" w:rsidR="000C6F57" w:rsidRDefault="000C6F57" w:rsidP="00F84F79">
            <w:pPr>
              <w:spacing w:line="240" w:lineRule="auto"/>
              <w:jc w:val="left"/>
              <w:rPr>
                <w:lang w:val="en-GB"/>
              </w:rPr>
            </w:pPr>
            <w:r>
              <w:rPr>
                <w:lang w:val="en-GB"/>
              </w:rPr>
              <w:t>October 2023</w:t>
            </w:r>
          </w:p>
        </w:tc>
        <w:tc>
          <w:tcPr>
            <w:tcW w:w="1920" w:type="pct"/>
          </w:tcPr>
          <w:p w14:paraId="285F61FF" w14:textId="1D6CEE6E" w:rsidR="000C6F57" w:rsidRDefault="000C6F57" w:rsidP="00F84F79">
            <w:pPr>
              <w:spacing w:line="240" w:lineRule="auto"/>
              <w:jc w:val="left"/>
              <w:rPr>
                <w:lang w:val="en-GB"/>
              </w:rPr>
            </w:pPr>
            <w:r>
              <w:rPr>
                <w:lang w:val="en-GB"/>
              </w:rPr>
              <w:t>Annual review</w:t>
            </w:r>
            <w:r w:rsidR="00EB0B00">
              <w:rPr>
                <w:lang w:val="en-GB"/>
              </w:rPr>
              <w:t xml:space="preserve">.  Updates </w:t>
            </w:r>
            <w:r w:rsidR="00ED7BCD">
              <w:rPr>
                <w:lang w:val="en-GB"/>
              </w:rPr>
              <w:t xml:space="preserve">in relation to </w:t>
            </w:r>
            <w:r w:rsidR="003C4397">
              <w:rPr>
                <w:lang w:val="en-GB"/>
              </w:rPr>
              <w:t xml:space="preserve">the </w:t>
            </w:r>
            <w:r w:rsidR="00DE2505">
              <w:rPr>
                <w:lang w:val="en-GB"/>
              </w:rPr>
              <w:t xml:space="preserve">different </w:t>
            </w:r>
            <w:r w:rsidR="00AB4814">
              <w:rPr>
                <w:lang w:val="en-GB"/>
              </w:rPr>
              <w:t xml:space="preserve">liquid resources </w:t>
            </w:r>
            <w:r w:rsidR="003C4397">
              <w:rPr>
                <w:lang w:val="en-GB"/>
              </w:rPr>
              <w:t xml:space="preserve">that </w:t>
            </w:r>
            <w:r w:rsidR="0022454C">
              <w:rPr>
                <w:lang w:val="en-GB"/>
              </w:rPr>
              <w:t xml:space="preserve">are </w:t>
            </w:r>
            <w:r w:rsidR="00DE2505">
              <w:rPr>
                <w:lang w:val="en-GB"/>
              </w:rPr>
              <w:t xml:space="preserve">available </w:t>
            </w:r>
            <w:r w:rsidR="00AB4814">
              <w:rPr>
                <w:lang w:val="en-GB"/>
              </w:rPr>
              <w:t xml:space="preserve">at different stages </w:t>
            </w:r>
            <w:r w:rsidR="00DE2505">
              <w:rPr>
                <w:lang w:val="en-GB"/>
              </w:rPr>
              <w:t xml:space="preserve">of the </w:t>
            </w:r>
            <w:r w:rsidR="001425B2">
              <w:rPr>
                <w:lang w:val="en-GB"/>
              </w:rPr>
              <w:t>default</w:t>
            </w:r>
            <w:r w:rsidR="00DE2505">
              <w:rPr>
                <w:lang w:val="en-GB"/>
              </w:rPr>
              <w:t xml:space="preserve"> process</w:t>
            </w:r>
            <w:r w:rsidR="00501EC6">
              <w:rPr>
                <w:lang w:val="en-GB"/>
              </w:rPr>
              <w:t>.</w:t>
            </w:r>
          </w:p>
        </w:tc>
        <w:tc>
          <w:tcPr>
            <w:tcW w:w="1419" w:type="pct"/>
          </w:tcPr>
          <w:p w14:paraId="6E3F4C93" w14:textId="17EEF328" w:rsidR="000C6F57" w:rsidRDefault="000C6F57" w:rsidP="00F84F79">
            <w:pPr>
              <w:spacing w:line="240" w:lineRule="auto"/>
              <w:jc w:val="left"/>
              <w:rPr>
                <w:lang w:val="en-GB"/>
              </w:rPr>
            </w:pPr>
            <w:r>
              <w:rPr>
                <w:lang w:val="en-GB"/>
              </w:rPr>
              <w:t>JSE Clear Risk</w:t>
            </w:r>
          </w:p>
        </w:tc>
      </w:tr>
      <w:tr w:rsidR="00104A6B" w14:paraId="14A97BB8" w14:textId="77777777" w:rsidTr="00EE030B">
        <w:trPr>
          <w:jc w:val="center"/>
        </w:trPr>
        <w:tc>
          <w:tcPr>
            <w:tcW w:w="656" w:type="pct"/>
          </w:tcPr>
          <w:p w14:paraId="5E604EF1" w14:textId="261204EE" w:rsidR="00104A6B" w:rsidRDefault="00104A6B" w:rsidP="00F84F79">
            <w:pPr>
              <w:spacing w:line="240" w:lineRule="auto"/>
              <w:jc w:val="left"/>
              <w:rPr>
                <w:lang w:val="en-GB"/>
              </w:rPr>
            </w:pPr>
            <w:r>
              <w:rPr>
                <w:lang w:val="en-GB"/>
              </w:rPr>
              <w:t>9.0</w:t>
            </w:r>
          </w:p>
        </w:tc>
        <w:tc>
          <w:tcPr>
            <w:tcW w:w="1005" w:type="pct"/>
          </w:tcPr>
          <w:p w14:paraId="2FC14C58" w14:textId="1C7006AB" w:rsidR="00104A6B" w:rsidRDefault="002C6060" w:rsidP="00F84F79">
            <w:pPr>
              <w:spacing w:line="240" w:lineRule="auto"/>
              <w:jc w:val="left"/>
              <w:rPr>
                <w:lang w:val="en-GB"/>
              </w:rPr>
            </w:pPr>
            <w:r>
              <w:rPr>
                <w:lang w:val="en-GB"/>
              </w:rPr>
              <w:t>October 2024</w:t>
            </w:r>
          </w:p>
        </w:tc>
        <w:tc>
          <w:tcPr>
            <w:tcW w:w="1920" w:type="pct"/>
          </w:tcPr>
          <w:p w14:paraId="259A88D0" w14:textId="7FE1268D" w:rsidR="00104A6B" w:rsidRDefault="007C129A" w:rsidP="00F84F79">
            <w:pPr>
              <w:spacing w:line="240" w:lineRule="auto"/>
              <w:jc w:val="left"/>
              <w:rPr>
                <w:lang w:val="en-GB"/>
              </w:rPr>
            </w:pPr>
            <w:r>
              <w:rPr>
                <w:lang w:val="en-GB"/>
              </w:rPr>
              <w:t>Annual review</w:t>
            </w:r>
            <w:r w:rsidR="002353C0">
              <w:rPr>
                <w:lang w:val="en-GB"/>
              </w:rPr>
              <w:t>. Updates in relation to the</w:t>
            </w:r>
            <w:r w:rsidR="00CC50FC">
              <w:rPr>
                <w:lang w:val="en-GB"/>
              </w:rPr>
              <w:t xml:space="preserve"> different variation methodolog</w:t>
            </w:r>
            <w:r w:rsidR="009C6C47">
              <w:rPr>
                <w:lang w:val="en-GB"/>
              </w:rPr>
              <w:t>ies</w:t>
            </w:r>
            <w:r w:rsidR="00CC50FC">
              <w:rPr>
                <w:lang w:val="en-GB"/>
              </w:rPr>
              <w:t xml:space="preserve"> utilised by the </w:t>
            </w:r>
            <w:r w:rsidR="009C6C47">
              <w:rPr>
                <w:lang w:val="en-GB"/>
              </w:rPr>
              <w:t>JSE Clear.</w:t>
            </w:r>
          </w:p>
        </w:tc>
        <w:tc>
          <w:tcPr>
            <w:tcW w:w="1419" w:type="pct"/>
          </w:tcPr>
          <w:p w14:paraId="347F59EC" w14:textId="1F06D9F4" w:rsidR="00104A6B" w:rsidRDefault="00632A16" w:rsidP="00F84F79">
            <w:pPr>
              <w:spacing w:line="240" w:lineRule="auto"/>
              <w:jc w:val="left"/>
              <w:rPr>
                <w:lang w:val="en-GB"/>
              </w:rPr>
            </w:pPr>
            <w:r>
              <w:rPr>
                <w:lang w:val="en-GB"/>
              </w:rPr>
              <w:t>JSE Clear Risk</w:t>
            </w:r>
          </w:p>
        </w:tc>
      </w:tr>
      <w:tr w:rsidR="00137F21" w14:paraId="229A5E62" w14:textId="77777777" w:rsidTr="00EE030B">
        <w:trPr>
          <w:jc w:val="center"/>
        </w:trPr>
        <w:tc>
          <w:tcPr>
            <w:tcW w:w="656" w:type="pct"/>
          </w:tcPr>
          <w:p w14:paraId="4F4DD85C" w14:textId="23E26511" w:rsidR="00137F21" w:rsidRDefault="00137F21" w:rsidP="00F84F79">
            <w:pPr>
              <w:spacing w:line="240" w:lineRule="auto"/>
              <w:jc w:val="left"/>
              <w:rPr>
                <w:lang w:val="en-GB"/>
              </w:rPr>
            </w:pPr>
            <w:r>
              <w:rPr>
                <w:lang w:val="en-GB"/>
              </w:rPr>
              <w:t>10.0</w:t>
            </w:r>
          </w:p>
        </w:tc>
        <w:tc>
          <w:tcPr>
            <w:tcW w:w="1005" w:type="pct"/>
          </w:tcPr>
          <w:p w14:paraId="787227FF" w14:textId="31D675DE" w:rsidR="00137F21" w:rsidRDefault="00137F21" w:rsidP="00F84F79">
            <w:pPr>
              <w:spacing w:line="240" w:lineRule="auto"/>
              <w:jc w:val="left"/>
              <w:rPr>
                <w:lang w:val="en-GB"/>
              </w:rPr>
            </w:pPr>
            <w:r>
              <w:rPr>
                <w:lang w:val="en-GB"/>
              </w:rPr>
              <w:t>October 2025</w:t>
            </w:r>
          </w:p>
        </w:tc>
        <w:tc>
          <w:tcPr>
            <w:tcW w:w="1920" w:type="pct"/>
          </w:tcPr>
          <w:p w14:paraId="06B396AC" w14:textId="0A238B6D" w:rsidR="00137F21" w:rsidRDefault="00E0265A" w:rsidP="00137F21">
            <w:pPr>
              <w:spacing w:line="240" w:lineRule="auto"/>
              <w:jc w:val="left"/>
              <w:rPr>
                <w:lang w:val="en-GB"/>
              </w:rPr>
            </w:pPr>
            <w:r>
              <w:rPr>
                <w:lang w:val="en-GB"/>
              </w:rPr>
              <w:t>Annual review</w:t>
            </w:r>
            <w:r w:rsidR="00AB7097">
              <w:rPr>
                <w:lang w:val="en-GB"/>
              </w:rPr>
              <w:t xml:space="preserve">. </w:t>
            </w:r>
            <w:r w:rsidR="00137F21">
              <w:rPr>
                <w:lang w:val="en-GB"/>
              </w:rPr>
              <w:t>Update to escalation criteria.</w:t>
            </w:r>
          </w:p>
          <w:p w14:paraId="4E755507" w14:textId="686EDC60" w:rsidR="00137F21" w:rsidRDefault="00137F21" w:rsidP="00137F21">
            <w:pPr>
              <w:spacing w:line="240" w:lineRule="auto"/>
              <w:jc w:val="left"/>
              <w:rPr>
                <w:lang w:val="en-GB"/>
              </w:rPr>
            </w:pPr>
            <w:r>
              <w:rPr>
                <w:lang w:val="en-GB"/>
              </w:rPr>
              <w:t>Minor housekeeping updates</w:t>
            </w:r>
            <w:r w:rsidR="000F2FD4">
              <w:rPr>
                <w:lang w:val="en-GB"/>
              </w:rPr>
              <w:t>.</w:t>
            </w:r>
          </w:p>
        </w:tc>
        <w:tc>
          <w:tcPr>
            <w:tcW w:w="1419" w:type="pct"/>
          </w:tcPr>
          <w:p w14:paraId="064BBCE5" w14:textId="117C4B49" w:rsidR="00137F21" w:rsidRDefault="00137F21" w:rsidP="00F84F79">
            <w:pPr>
              <w:spacing w:line="240" w:lineRule="auto"/>
              <w:jc w:val="left"/>
              <w:rPr>
                <w:lang w:val="en-GB"/>
              </w:rPr>
            </w:pPr>
            <w:r>
              <w:rPr>
                <w:lang w:val="en-GB"/>
              </w:rPr>
              <w:t>JSE Clear Risk</w:t>
            </w:r>
          </w:p>
        </w:tc>
      </w:tr>
    </w:tbl>
    <w:p w14:paraId="55B485D7" w14:textId="77777777" w:rsidR="0035218F" w:rsidRPr="0035218F" w:rsidRDefault="0035218F" w:rsidP="0035218F"/>
    <w:p w14:paraId="232127B4" w14:textId="3AAE1E8C" w:rsidR="00C7309A" w:rsidRPr="00C7309A" w:rsidRDefault="00C7309A" w:rsidP="00C7309A">
      <w:pPr>
        <w:rPr>
          <w:rFonts w:asciiTheme="minorHAnsi" w:eastAsia="Times New Roman" w:hAnsiTheme="minorHAnsi"/>
          <w:b/>
          <w:color w:val="000000"/>
          <w:szCs w:val="20"/>
          <w:lang w:val="en-ZA"/>
        </w:rPr>
      </w:pPr>
      <w:r w:rsidRPr="00C7309A">
        <w:rPr>
          <w:rFonts w:asciiTheme="minorHAnsi" w:hAnsiTheme="minorHAnsi"/>
          <w:szCs w:val="20"/>
        </w:rPr>
        <w:br w:type="page"/>
      </w:r>
    </w:p>
    <w:p w14:paraId="49FCD6D1" w14:textId="77777777" w:rsidR="008B28AA" w:rsidRDefault="008B28AA" w:rsidP="008B28AA">
      <w:pPr>
        <w:pStyle w:val="Heading2"/>
        <w:numPr>
          <w:ilvl w:val="0"/>
          <w:numId w:val="2"/>
        </w:numPr>
        <w:rPr>
          <w:rFonts w:asciiTheme="minorHAnsi" w:hAnsiTheme="minorHAnsi"/>
          <w:sz w:val="20"/>
          <w:szCs w:val="20"/>
        </w:rPr>
      </w:pPr>
      <w:bookmarkStart w:id="4" w:name="_Toc209521890"/>
      <w:bookmarkStart w:id="5" w:name="_Toc341200946"/>
      <w:bookmarkStart w:id="6" w:name="_Toc342055004"/>
      <w:r>
        <w:rPr>
          <w:rFonts w:asciiTheme="minorHAnsi" w:hAnsiTheme="minorHAnsi"/>
          <w:sz w:val="20"/>
          <w:szCs w:val="20"/>
        </w:rPr>
        <w:t>INTRODUCTION</w:t>
      </w:r>
      <w:bookmarkEnd w:id="4"/>
    </w:p>
    <w:p w14:paraId="03C9F323" w14:textId="0F6ECFC0" w:rsidR="00E638D7" w:rsidRDefault="001563EF" w:rsidP="00E638D7">
      <w:pPr>
        <w:ind w:left="720"/>
      </w:pPr>
      <w:r>
        <w:t xml:space="preserve">As </w:t>
      </w:r>
      <w:r w:rsidR="00983FED">
        <w:rPr>
          <w:rFonts w:asciiTheme="minorHAnsi" w:hAnsiTheme="minorHAnsi" w:cs="Arial"/>
          <w:szCs w:val="20"/>
        </w:rPr>
        <w:t xml:space="preserve">a central counterparty (CCP) which clears derivative </w:t>
      </w:r>
      <w:r w:rsidR="007556B6">
        <w:rPr>
          <w:rFonts w:asciiTheme="minorHAnsi" w:hAnsiTheme="minorHAnsi" w:cs="Arial"/>
          <w:szCs w:val="20"/>
        </w:rPr>
        <w:t>securities listed on the JSE</w:t>
      </w:r>
      <w:r w:rsidR="00BF529A">
        <w:rPr>
          <w:rFonts w:asciiTheme="minorHAnsi" w:hAnsiTheme="minorHAnsi" w:cs="Arial"/>
          <w:szCs w:val="20"/>
        </w:rPr>
        <w:t>,</w:t>
      </w:r>
      <w:r w:rsidR="00983FED">
        <w:rPr>
          <w:rFonts w:asciiTheme="minorHAnsi" w:hAnsiTheme="minorHAnsi" w:cs="Arial"/>
          <w:szCs w:val="20"/>
        </w:rPr>
        <w:t xml:space="preserve"> JSE Clear </w:t>
      </w:r>
      <w:r w:rsidR="00E638D7">
        <w:t xml:space="preserve">is required to be aware of its potential liquidity requirements and manage its resources effectively to ensure </w:t>
      </w:r>
      <w:r w:rsidR="007556B6">
        <w:t>effective and appropriate risk management in the markets for which it acts as CCP and clearing house.</w:t>
      </w:r>
      <w:r w:rsidR="00B67415">
        <w:t xml:space="preserve"> </w:t>
      </w:r>
      <w:r w:rsidR="00E638D7">
        <w:t xml:space="preserve">This is in line with the important role </w:t>
      </w:r>
      <w:r w:rsidR="00B50E14">
        <w:t>JSE</w:t>
      </w:r>
      <w:r w:rsidR="00180C7D">
        <w:t xml:space="preserve"> </w:t>
      </w:r>
      <w:r w:rsidR="00B50E14">
        <w:t>C</w:t>
      </w:r>
      <w:r w:rsidR="00180C7D">
        <w:t>lear</w:t>
      </w:r>
      <w:r w:rsidR="00E638D7">
        <w:t xml:space="preserve"> plays in safeguarding and maintaining sound financial markets. </w:t>
      </w:r>
    </w:p>
    <w:p w14:paraId="758125B5" w14:textId="77777777" w:rsidR="00E638D7" w:rsidRDefault="00E638D7" w:rsidP="00E638D7">
      <w:pPr>
        <w:ind w:left="720"/>
      </w:pPr>
    </w:p>
    <w:p w14:paraId="76908018" w14:textId="40716D24" w:rsidR="00E638D7" w:rsidRDefault="00E638D7" w:rsidP="004B7600">
      <w:pPr>
        <w:ind w:left="720"/>
      </w:pPr>
      <w:r>
        <w:t>T</w:t>
      </w:r>
      <w:r w:rsidRPr="00B84B98">
        <w:t xml:space="preserve">o ensure </w:t>
      </w:r>
      <w:r>
        <w:t>adequate</w:t>
      </w:r>
      <w:r w:rsidRPr="00B84B98">
        <w:t xml:space="preserve"> liquidity in the market and prompt payment to market counterparties, </w:t>
      </w:r>
      <w:r>
        <w:t xml:space="preserve">it is important that </w:t>
      </w:r>
      <w:r w:rsidR="00B50E14">
        <w:t>JSE</w:t>
      </w:r>
      <w:r w:rsidR="00180C7D">
        <w:t xml:space="preserve"> </w:t>
      </w:r>
      <w:r w:rsidR="00B50E14">
        <w:t>C</w:t>
      </w:r>
      <w:r w:rsidR="00180C7D">
        <w:t>lear</w:t>
      </w:r>
      <w:r>
        <w:t xml:space="preserve"> establishes certainty around how it manages cash-flows where there is a term mismatch between payments and receipts.</w:t>
      </w:r>
    </w:p>
    <w:p w14:paraId="208F15ED" w14:textId="77777777" w:rsidR="00C878D1" w:rsidRDefault="00C878D1" w:rsidP="00C878D1">
      <w:pPr>
        <w:ind w:left="720"/>
        <w:rPr>
          <w:b/>
        </w:rPr>
      </w:pPr>
    </w:p>
    <w:p w14:paraId="2C48ECA8" w14:textId="2924B8AA" w:rsidR="00E638D7" w:rsidRDefault="00E638D7" w:rsidP="00E638D7">
      <w:pPr>
        <w:ind w:left="720"/>
      </w:pPr>
      <w:r>
        <w:t xml:space="preserve">The Committee on Payment and Settlement Systems ("CPSS") and the Technical Committee of the International Organization of Securities Commissions ("IOSCO") also acknowledges the importance of managing the liquidity profile of the CCP </w:t>
      </w:r>
      <w:proofErr w:type="gramStart"/>
      <w:r>
        <w:t>and in particular</w:t>
      </w:r>
      <w:r w:rsidR="00B67415">
        <w:t xml:space="preserve">, </w:t>
      </w:r>
      <w:r>
        <w:t>ensuring</w:t>
      </w:r>
      <w:proofErr w:type="gramEnd"/>
      <w:r>
        <w:t xml:space="preserve"> access to sufficient liquid resources. Principle 7 ("Liquidity risk") of the CPSS-IOSCO principles </w:t>
      </w:r>
      <w:r w:rsidR="00B50E14">
        <w:t xml:space="preserve">for financial market infrastructures (PFMIs) </w:t>
      </w:r>
      <w:r>
        <w:t>states that:</w:t>
      </w:r>
    </w:p>
    <w:p w14:paraId="04ABAE6B" w14:textId="77777777" w:rsidR="00E638D7" w:rsidRDefault="00E638D7" w:rsidP="00E638D7">
      <w:pPr>
        <w:ind w:left="720"/>
      </w:pPr>
    </w:p>
    <w:p w14:paraId="494EF9FD" w14:textId="77777777" w:rsidR="00E638D7" w:rsidRPr="00A00A4C" w:rsidRDefault="00E638D7" w:rsidP="00E638D7">
      <w:pPr>
        <w:ind w:left="1440"/>
        <w:rPr>
          <w:i/>
        </w:rPr>
      </w:pPr>
      <w:r w:rsidRPr="00A00A4C">
        <w:rPr>
          <w:i/>
        </w:rPr>
        <w:t xml:space="preserve">"An FMI should effectively measure, monitor, and manage its liquidity risk. An FMI should maintain sufficient liquid resources in all relevant currencies to </w:t>
      </w:r>
      <w:proofErr w:type="gramStart"/>
      <w:r w:rsidRPr="00A00A4C">
        <w:rPr>
          <w:i/>
        </w:rPr>
        <w:t>effect</w:t>
      </w:r>
      <w:proofErr w:type="gramEnd"/>
      <w:r w:rsidRPr="00A00A4C">
        <w:rPr>
          <w:i/>
        </w:rPr>
        <w:t xml:space="preserve"> same-day and, where appropriate, intraday and multiday settlement of payment obligations with a high degree of confidence under a wide range of potential stress scenarios".</w:t>
      </w:r>
    </w:p>
    <w:p w14:paraId="75D944CF" w14:textId="77777777" w:rsidR="00E638D7" w:rsidRDefault="00E638D7" w:rsidP="00E638D7">
      <w:pPr>
        <w:ind w:left="720"/>
      </w:pPr>
    </w:p>
    <w:p w14:paraId="2B31BA9A" w14:textId="4C50B038" w:rsidR="00E638D7" w:rsidRDefault="00E638D7" w:rsidP="00E638D7">
      <w:pPr>
        <w:ind w:left="720"/>
      </w:pPr>
      <w:r>
        <w:t xml:space="preserve">Against this background this document provides the policy framework within which </w:t>
      </w:r>
      <w:r w:rsidR="00B50E14">
        <w:t>JSE</w:t>
      </w:r>
      <w:r w:rsidR="00180C7D">
        <w:t xml:space="preserve"> </w:t>
      </w:r>
      <w:r w:rsidR="00B50E14">
        <w:t>C</w:t>
      </w:r>
      <w:r w:rsidR="00180C7D">
        <w:t>lear</w:t>
      </w:r>
      <w:r>
        <w:t xml:space="preserve"> will </w:t>
      </w:r>
      <w:proofErr w:type="gramStart"/>
      <w:r>
        <w:t>give</w:t>
      </w:r>
      <w:proofErr w:type="gramEnd"/>
      <w:r>
        <w:t xml:space="preserve"> effect </w:t>
      </w:r>
      <w:proofErr w:type="gramStart"/>
      <w:r>
        <w:t>to</w:t>
      </w:r>
      <w:proofErr w:type="gramEnd"/>
      <w:r>
        <w:t xml:space="preserve"> the management of liquidity</w:t>
      </w:r>
      <w:r w:rsidR="00B50E14">
        <w:t>,</w:t>
      </w:r>
      <w:r>
        <w:t xml:space="preserve"> and specifically how any liquid resources will be used to </w:t>
      </w:r>
      <w:proofErr w:type="gramStart"/>
      <w:r>
        <w:t>effect</w:t>
      </w:r>
      <w:proofErr w:type="gramEnd"/>
      <w:r>
        <w:t xml:space="preserve"> prompt payment to market participants.</w:t>
      </w:r>
    </w:p>
    <w:p w14:paraId="2DD07419" w14:textId="77777777" w:rsidR="00E638D7" w:rsidRDefault="00E638D7" w:rsidP="00C878D1">
      <w:pPr>
        <w:ind w:left="720"/>
        <w:rPr>
          <w:b/>
        </w:rPr>
      </w:pPr>
    </w:p>
    <w:p w14:paraId="7971F9D2" w14:textId="77777777" w:rsidR="00CB7098" w:rsidRPr="00C878D1" w:rsidRDefault="00CB7098" w:rsidP="00C878D1">
      <w:pPr>
        <w:ind w:left="720"/>
        <w:rPr>
          <w:b/>
        </w:rPr>
      </w:pPr>
    </w:p>
    <w:p w14:paraId="3102A7DE" w14:textId="77777777" w:rsidR="00C878D1" w:rsidRPr="008B28AA" w:rsidRDefault="00E638D7" w:rsidP="008B28AA">
      <w:pPr>
        <w:pStyle w:val="Heading2"/>
        <w:numPr>
          <w:ilvl w:val="0"/>
          <w:numId w:val="2"/>
        </w:numPr>
        <w:rPr>
          <w:rFonts w:asciiTheme="minorHAnsi" w:hAnsiTheme="minorHAnsi"/>
          <w:sz w:val="20"/>
          <w:szCs w:val="20"/>
        </w:rPr>
      </w:pPr>
      <w:bookmarkStart w:id="7" w:name="_Toc209521891"/>
      <w:r>
        <w:rPr>
          <w:rFonts w:asciiTheme="minorHAnsi" w:hAnsiTheme="minorHAnsi"/>
          <w:sz w:val="20"/>
          <w:szCs w:val="20"/>
        </w:rPr>
        <w:t>SCOPE</w:t>
      </w:r>
      <w:bookmarkEnd w:id="7"/>
    </w:p>
    <w:p w14:paraId="4DEEBFBF" w14:textId="6E9944A3" w:rsidR="00C878D1" w:rsidRDefault="00E638D7" w:rsidP="00E638D7">
      <w:pPr>
        <w:autoSpaceDE w:val="0"/>
        <w:autoSpaceDN w:val="0"/>
        <w:adjustRightInd w:val="0"/>
        <w:ind w:left="720"/>
        <w:rPr>
          <w:rFonts w:asciiTheme="minorHAnsi" w:hAnsiTheme="minorHAnsi" w:cs="Arial"/>
        </w:rPr>
      </w:pPr>
      <w:r>
        <w:rPr>
          <w:rFonts w:asciiTheme="minorHAnsi" w:hAnsiTheme="minorHAnsi" w:cs="Arial"/>
        </w:rPr>
        <w:t xml:space="preserve">This policy </w:t>
      </w:r>
      <w:r w:rsidR="007556B6">
        <w:rPr>
          <w:rFonts w:asciiTheme="minorHAnsi" w:hAnsiTheme="minorHAnsi" w:cs="Arial"/>
        </w:rPr>
        <w:t xml:space="preserve">provides details about the </w:t>
      </w:r>
      <w:proofErr w:type="gramStart"/>
      <w:r w:rsidR="007556B6">
        <w:rPr>
          <w:rFonts w:asciiTheme="minorHAnsi" w:hAnsiTheme="minorHAnsi" w:cs="Arial"/>
        </w:rPr>
        <w:t>manner in which</w:t>
      </w:r>
      <w:proofErr w:type="gramEnd"/>
      <w:r w:rsidR="007556B6">
        <w:rPr>
          <w:rFonts w:asciiTheme="minorHAnsi" w:hAnsiTheme="minorHAnsi" w:cs="Arial"/>
        </w:rPr>
        <w:t xml:space="preserve"> JSE Clear will enforce its rules to </w:t>
      </w:r>
      <w:r>
        <w:rPr>
          <w:rFonts w:asciiTheme="minorHAnsi" w:hAnsiTheme="minorHAnsi" w:cs="Arial"/>
        </w:rPr>
        <w:t>deal with liquidity requirements and the use of liquid resources</w:t>
      </w:r>
      <w:r w:rsidR="007556B6">
        <w:rPr>
          <w:rFonts w:asciiTheme="minorHAnsi" w:hAnsiTheme="minorHAnsi" w:cs="Arial"/>
        </w:rPr>
        <w:t xml:space="preserve">. </w:t>
      </w:r>
      <w:r w:rsidR="00903E4F">
        <w:rPr>
          <w:rFonts w:asciiTheme="minorHAnsi" w:hAnsiTheme="minorHAnsi" w:cs="Arial"/>
        </w:rPr>
        <w:t xml:space="preserve"> </w:t>
      </w:r>
    </w:p>
    <w:p w14:paraId="777C8D66" w14:textId="77777777" w:rsidR="00B34295" w:rsidRDefault="00B34295" w:rsidP="00E638D7">
      <w:pPr>
        <w:autoSpaceDE w:val="0"/>
        <w:autoSpaceDN w:val="0"/>
        <w:adjustRightInd w:val="0"/>
        <w:ind w:left="720"/>
        <w:rPr>
          <w:rFonts w:asciiTheme="minorHAnsi" w:hAnsiTheme="minorHAnsi" w:cs="Arial"/>
        </w:rPr>
      </w:pPr>
    </w:p>
    <w:p w14:paraId="0B39A1E4" w14:textId="77777777" w:rsidR="008318DE" w:rsidRPr="00395394" w:rsidRDefault="008318DE" w:rsidP="00E638D7">
      <w:pPr>
        <w:autoSpaceDE w:val="0"/>
        <w:autoSpaceDN w:val="0"/>
        <w:adjustRightInd w:val="0"/>
        <w:ind w:left="720"/>
        <w:rPr>
          <w:rFonts w:asciiTheme="minorHAnsi" w:hAnsiTheme="minorHAnsi" w:cs="Arial"/>
        </w:rPr>
      </w:pPr>
    </w:p>
    <w:p w14:paraId="1693433C" w14:textId="77777777" w:rsidR="00BE7493" w:rsidRDefault="00E638D7" w:rsidP="008B28AA">
      <w:pPr>
        <w:pStyle w:val="Heading2"/>
        <w:numPr>
          <w:ilvl w:val="0"/>
          <w:numId w:val="2"/>
        </w:numPr>
        <w:rPr>
          <w:rFonts w:asciiTheme="minorHAnsi" w:hAnsiTheme="minorHAnsi"/>
          <w:sz w:val="20"/>
          <w:szCs w:val="20"/>
        </w:rPr>
      </w:pPr>
      <w:bookmarkStart w:id="8" w:name="_Toc209521892"/>
      <w:r>
        <w:rPr>
          <w:rFonts w:asciiTheme="minorHAnsi" w:hAnsiTheme="minorHAnsi"/>
          <w:sz w:val="20"/>
          <w:szCs w:val="20"/>
        </w:rPr>
        <w:t>LIQUIDITY MANAGEMENT</w:t>
      </w:r>
      <w:bookmarkEnd w:id="8"/>
    </w:p>
    <w:p w14:paraId="5873C56D" w14:textId="59B54243" w:rsidR="003D44FA" w:rsidRDefault="00362D31" w:rsidP="00E638D7">
      <w:pPr>
        <w:ind w:left="720"/>
      </w:pPr>
      <w:r>
        <w:t xml:space="preserve">JSE Clear will ensure that </w:t>
      </w:r>
      <w:r w:rsidR="007B08D0">
        <w:t>it maintains</w:t>
      </w:r>
      <w:r w:rsidR="003F1BB3">
        <w:t xml:space="preserve"> </w:t>
      </w:r>
      <w:r>
        <w:t>sufficient liquid resources to minimi</w:t>
      </w:r>
      <w:r w:rsidR="00CD0FE6">
        <w:t>s</w:t>
      </w:r>
      <w:r>
        <w:t xml:space="preserve">e </w:t>
      </w:r>
      <w:r w:rsidR="00B03F2E">
        <w:t xml:space="preserve">the </w:t>
      </w:r>
      <w:r>
        <w:t xml:space="preserve">impact </w:t>
      </w:r>
      <w:proofErr w:type="gramStart"/>
      <w:r>
        <w:t>to</w:t>
      </w:r>
      <w:proofErr w:type="gramEnd"/>
      <w:r>
        <w:t xml:space="preserve"> the market </w:t>
      </w:r>
      <w:r w:rsidR="00D74E14">
        <w:t xml:space="preserve">on the day of a </w:t>
      </w:r>
      <w:r w:rsidR="00063F76">
        <w:t>C</w:t>
      </w:r>
      <w:r>
        <w:t xml:space="preserve">learing </w:t>
      </w:r>
      <w:r w:rsidR="00063F76">
        <w:t>M</w:t>
      </w:r>
      <w:r>
        <w:t xml:space="preserve">ember </w:t>
      </w:r>
      <w:proofErr w:type="gramStart"/>
      <w:r>
        <w:t>default</w:t>
      </w:r>
      <w:proofErr w:type="gramEnd"/>
      <w:r w:rsidR="00D3092E">
        <w:t xml:space="preserve"> </w:t>
      </w:r>
      <w:r w:rsidR="0059124A">
        <w:t xml:space="preserve">such that </w:t>
      </w:r>
      <w:r w:rsidR="00A667BE">
        <w:t xml:space="preserve">the potential liquidity shortfall (i.e. liquidity </w:t>
      </w:r>
      <w:proofErr w:type="gramStart"/>
      <w:r w:rsidR="00A667BE">
        <w:t>need</w:t>
      </w:r>
      <w:proofErr w:type="gramEnd"/>
      <w:r w:rsidR="00A667BE">
        <w:t xml:space="preserve"> less available liquid resources) is no more than </w:t>
      </w:r>
      <w:r w:rsidR="24E03721">
        <w:t>30</w:t>
      </w:r>
      <w:r w:rsidR="00A667BE">
        <w:t xml:space="preserve">% of the total variation margin profits due to market participants on this day.  </w:t>
      </w:r>
    </w:p>
    <w:p w14:paraId="20AD2F73" w14:textId="77777777" w:rsidR="002F2826" w:rsidRDefault="002F2826" w:rsidP="00E638D7">
      <w:pPr>
        <w:ind w:left="720"/>
      </w:pPr>
    </w:p>
    <w:p w14:paraId="52BCDADB" w14:textId="56C3FFFF" w:rsidR="00AC334E" w:rsidRDefault="00C2335C" w:rsidP="00E638D7">
      <w:pPr>
        <w:ind w:left="720"/>
      </w:pPr>
      <w:r>
        <w:t xml:space="preserve">JSE Clear will establish dedicated short-term borrowing facilities to assist in meeting </w:t>
      </w:r>
      <w:r w:rsidR="00EB5FBD">
        <w:t xml:space="preserve">the </w:t>
      </w:r>
      <w:r>
        <w:t>liquidity need</w:t>
      </w:r>
      <w:r w:rsidRPr="00844970">
        <w:t xml:space="preserve"> </w:t>
      </w:r>
      <w:r>
        <w:t>on the day of the default</w:t>
      </w:r>
      <w:r w:rsidR="00233CBB">
        <w:t xml:space="preserve">.  </w:t>
      </w:r>
      <w:r w:rsidR="007556B6">
        <w:t>In terms of the JSE Clear Rules</w:t>
      </w:r>
      <w:r w:rsidR="000C61D5">
        <w:t xml:space="preserve"> and the agreements that govern the</w:t>
      </w:r>
      <w:r w:rsidR="00977B40">
        <w:t xml:space="preserve"> facilities</w:t>
      </w:r>
      <w:r w:rsidR="007556B6">
        <w:t>, t</w:t>
      </w:r>
      <w:r w:rsidR="00BD6092">
        <w:t>he liquidity facilities will be used</w:t>
      </w:r>
      <w:r w:rsidR="0036550C">
        <w:t>,</w:t>
      </w:r>
      <w:r w:rsidR="00BD6092">
        <w:t xml:space="preserve"> up to the value of the initial margin of the defaulting entities</w:t>
      </w:r>
      <w:r w:rsidR="0036550C">
        <w:t>,</w:t>
      </w:r>
      <w:r w:rsidR="00BD6092">
        <w:t xml:space="preserve"> </w:t>
      </w:r>
      <w:r w:rsidR="007D5FF6">
        <w:t xml:space="preserve">to </w:t>
      </w:r>
      <w:r w:rsidR="001C4019">
        <w:t xml:space="preserve">assist in </w:t>
      </w:r>
      <w:r w:rsidR="007D5FF6">
        <w:t>meet</w:t>
      </w:r>
      <w:r w:rsidR="001C4019">
        <w:t>ing</w:t>
      </w:r>
      <w:r w:rsidR="007D5FF6">
        <w:t xml:space="preserve"> </w:t>
      </w:r>
      <w:r w:rsidR="0036550C">
        <w:t xml:space="preserve">the </w:t>
      </w:r>
      <w:r w:rsidR="007D5FF6">
        <w:t xml:space="preserve">variation margin obligations </w:t>
      </w:r>
      <w:r w:rsidR="0036550C">
        <w:t>of these entities</w:t>
      </w:r>
      <w:r w:rsidR="004A12DF">
        <w:t xml:space="preserve"> i.e. the </w:t>
      </w:r>
      <w:r w:rsidR="00127233">
        <w:t xml:space="preserve">facilities </w:t>
      </w:r>
      <w:r w:rsidR="00E03E2B">
        <w:t>together with the i</w:t>
      </w:r>
      <w:r w:rsidR="00233CBB">
        <w:t xml:space="preserve">ncoming </w:t>
      </w:r>
      <w:r w:rsidR="00034D63">
        <w:t xml:space="preserve">variation margin payments received from healthy entities </w:t>
      </w:r>
      <w:r w:rsidR="000F5434">
        <w:t xml:space="preserve">will be used </w:t>
      </w:r>
      <w:r>
        <w:t>to assist in paying the variation margin profits due to market participants.</w:t>
      </w:r>
    </w:p>
    <w:p w14:paraId="0AF5C650" w14:textId="77777777" w:rsidR="00C2335C" w:rsidRDefault="00C2335C" w:rsidP="00E638D7">
      <w:pPr>
        <w:ind w:left="720"/>
      </w:pPr>
    </w:p>
    <w:p w14:paraId="07DD46A1" w14:textId="591BF2C4" w:rsidR="003D44FA" w:rsidRDefault="00A70F54" w:rsidP="009558E3">
      <w:pPr>
        <w:ind w:left="720"/>
      </w:pPr>
      <w:r>
        <w:t xml:space="preserve">On subsequent days of the default </w:t>
      </w:r>
      <w:proofErr w:type="gramStart"/>
      <w:r>
        <w:t>process</w:t>
      </w:r>
      <w:proofErr w:type="gramEnd"/>
      <w:r>
        <w:t xml:space="preserve"> once the affected positions have been closed out </w:t>
      </w:r>
      <w:r w:rsidR="001D25AA">
        <w:t xml:space="preserve">and initial margin </w:t>
      </w:r>
      <w:r w:rsidR="009C487F">
        <w:t xml:space="preserve">held against these positions is available, </w:t>
      </w:r>
      <w:r w:rsidR="00353FC3">
        <w:t xml:space="preserve">JSE Clear will ensure that there are sufficient liquid resources </w:t>
      </w:r>
      <w:r w:rsidR="00B545EF">
        <w:t xml:space="preserve">to make payments on behalf of the defaulted </w:t>
      </w:r>
      <w:r w:rsidR="00063F76">
        <w:t>C</w:t>
      </w:r>
      <w:r w:rsidR="00B545EF">
        <w:t xml:space="preserve">learing </w:t>
      </w:r>
      <w:r w:rsidR="00063F76">
        <w:t>M</w:t>
      </w:r>
      <w:r w:rsidR="00B545EF">
        <w:t>ember as and when they become due</w:t>
      </w:r>
      <w:r w:rsidR="00362D31">
        <w:t>.</w:t>
      </w:r>
    </w:p>
    <w:p w14:paraId="71C325CF" w14:textId="77777777" w:rsidR="00CF3B1F" w:rsidRDefault="00CF3B1F" w:rsidP="00E638D7">
      <w:pPr>
        <w:ind w:left="720"/>
      </w:pPr>
    </w:p>
    <w:p w14:paraId="41C853AA" w14:textId="27E6E1D4" w:rsidR="00471E1F" w:rsidRDefault="00471E1F" w:rsidP="00E638D7">
      <w:pPr>
        <w:ind w:left="720"/>
      </w:pPr>
      <w:r>
        <w:t>Once the defaulters’ positions have been closed</w:t>
      </w:r>
      <w:r w:rsidR="000E128E">
        <w:t>,</w:t>
      </w:r>
      <w:r>
        <w:t xml:space="preserve"> initial margin will be </w:t>
      </w:r>
      <w:r w:rsidR="00CA3FD2">
        <w:t xml:space="preserve">available </w:t>
      </w:r>
      <w:r w:rsidR="00857656">
        <w:t xml:space="preserve">to </w:t>
      </w:r>
      <w:r w:rsidR="0032415F">
        <w:t>pay</w:t>
      </w:r>
      <w:r w:rsidR="00857656">
        <w:t xml:space="preserve"> </w:t>
      </w:r>
      <w:r w:rsidR="0032415F">
        <w:t xml:space="preserve">the </w:t>
      </w:r>
      <w:r w:rsidR="00CA3FD2">
        <w:t xml:space="preserve">variation margin obligations of </w:t>
      </w:r>
      <w:r w:rsidR="00F963FC">
        <w:t xml:space="preserve">the </w:t>
      </w:r>
      <w:r w:rsidR="00CA3FD2">
        <w:t>defaulting entities</w:t>
      </w:r>
      <w:r w:rsidR="00D6068E">
        <w:t xml:space="preserve">.  To the extent that </w:t>
      </w:r>
      <w:r w:rsidR="00AD03E5">
        <w:t xml:space="preserve">the initial margin of the defaulting entities is sufficient it will also be used to </w:t>
      </w:r>
      <w:proofErr w:type="gramStart"/>
      <w:r w:rsidR="00AD03E5">
        <w:t>pay</w:t>
      </w:r>
      <w:proofErr w:type="gramEnd"/>
      <w:r w:rsidR="00AD03E5">
        <w:t xml:space="preserve"> </w:t>
      </w:r>
      <w:r w:rsidR="0089254C">
        <w:t xml:space="preserve">any </w:t>
      </w:r>
      <w:r w:rsidR="00AD03E5">
        <w:t xml:space="preserve">shortfall </w:t>
      </w:r>
      <w:r w:rsidR="0089254C">
        <w:t>on the day of default</w:t>
      </w:r>
      <w:r w:rsidR="003D44FA">
        <w:t xml:space="preserve"> </w:t>
      </w:r>
      <w:r w:rsidR="0089254C">
        <w:t xml:space="preserve">i.e. to pay market participants who did not receive their full </w:t>
      </w:r>
      <w:r w:rsidR="00F963FC">
        <w:t>variation</w:t>
      </w:r>
      <w:r w:rsidR="0089254C">
        <w:t xml:space="preserve"> margin profit </w:t>
      </w:r>
      <w:r w:rsidR="00AC655A">
        <w:t xml:space="preserve">due </w:t>
      </w:r>
      <w:r w:rsidR="0089254C">
        <w:t>on the day of the default.</w:t>
      </w:r>
    </w:p>
    <w:p w14:paraId="4C507A24" w14:textId="77777777" w:rsidR="0089254C" w:rsidRDefault="0089254C" w:rsidP="003D44FA">
      <w:pPr>
        <w:ind w:left="720"/>
      </w:pPr>
    </w:p>
    <w:p w14:paraId="6C57A719" w14:textId="35148DD7" w:rsidR="003D44FA" w:rsidRDefault="003D44FA" w:rsidP="003D44FA">
      <w:pPr>
        <w:ind w:left="720"/>
      </w:pPr>
      <w:r>
        <w:t xml:space="preserve">The liquidity facilities may also be used </w:t>
      </w:r>
      <w:r w:rsidR="007556B6">
        <w:t xml:space="preserve">to facilitate payments equal to </w:t>
      </w:r>
      <w:r>
        <w:t xml:space="preserve">the value </w:t>
      </w:r>
      <w:r w:rsidR="007556B6">
        <w:t xml:space="preserve">of </w:t>
      </w:r>
      <w:r>
        <w:t>securities collateral</w:t>
      </w:r>
      <w:r w:rsidR="007556B6">
        <w:t xml:space="preserve"> </w:t>
      </w:r>
      <w:r>
        <w:t>held as initial margin once the securities have been sold and prior to the proceeds being received.</w:t>
      </w:r>
    </w:p>
    <w:p w14:paraId="6C8869E4" w14:textId="77777777" w:rsidR="003D44FA" w:rsidRPr="00E638D7" w:rsidRDefault="003D44FA" w:rsidP="00E638D7">
      <w:pPr>
        <w:ind w:left="720"/>
      </w:pPr>
    </w:p>
    <w:p w14:paraId="1BCABAC8" w14:textId="63A8C3CF" w:rsidR="00BE7493" w:rsidRPr="00F60F5F" w:rsidRDefault="00E638D7" w:rsidP="00F60F5F">
      <w:pPr>
        <w:pStyle w:val="Heading3"/>
        <w:numPr>
          <w:ilvl w:val="1"/>
          <w:numId w:val="2"/>
        </w:numPr>
        <w:rPr>
          <w:rFonts w:asciiTheme="minorHAnsi" w:hAnsiTheme="minorHAnsi"/>
          <w:color w:val="92D050"/>
        </w:rPr>
      </w:pPr>
      <w:bookmarkStart w:id="9" w:name="_Toc209521893"/>
      <w:r>
        <w:rPr>
          <w:rFonts w:asciiTheme="minorHAnsi" w:hAnsiTheme="minorHAnsi"/>
          <w:color w:val="92D050"/>
        </w:rPr>
        <w:t xml:space="preserve">LIQUIDITY REQUIREMENT </w:t>
      </w:r>
      <w:r w:rsidR="00985450">
        <w:rPr>
          <w:rFonts w:asciiTheme="minorHAnsi" w:hAnsiTheme="minorHAnsi"/>
          <w:color w:val="92D050"/>
        </w:rPr>
        <w:t>A</w:t>
      </w:r>
      <w:r w:rsidR="00FF651F">
        <w:rPr>
          <w:rFonts w:asciiTheme="minorHAnsi" w:hAnsiTheme="minorHAnsi"/>
          <w:color w:val="92D050"/>
        </w:rPr>
        <w:t>ND</w:t>
      </w:r>
      <w:r w:rsidR="00985450">
        <w:rPr>
          <w:rFonts w:asciiTheme="minorHAnsi" w:hAnsiTheme="minorHAnsi"/>
          <w:color w:val="92D050"/>
        </w:rPr>
        <w:t xml:space="preserve"> </w:t>
      </w:r>
      <w:r>
        <w:rPr>
          <w:rFonts w:asciiTheme="minorHAnsi" w:hAnsiTheme="minorHAnsi"/>
          <w:color w:val="92D050"/>
        </w:rPr>
        <w:t>INVESTMENT GUIDELINES</w:t>
      </w:r>
      <w:bookmarkEnd w:id="9"/>
    </w:p>
    <w:p w14:paraId="4B6C4FE4" w14:textId="43DB48F4" w:rsidR="00C878D1" w:rsidRPr="00160BC7" w:rsidRDefault="00E638D7" w:rsidP="0054139F">
      <w:pPr>
        <w:ind w:left="720"/>
      </w:pPr>
      <w:r>
        <w:t xml:space="preserve">Where third party funds are </w:t>
      </w:r>
      <w:r w:rsidR="00CC6341">
        <w:t>invested</w:t>
      </w:r>
      <w:r>
        <w:t>, due consideration will be given to liquidity requirements under normal and extreme conditions when establishing investment guidelines for those funds.</w:t>
      </w:r>
    </w:p>
    <w:p w14:paraId="1541B160" w14:textId="77777777" w:rsidR="00C878D1" w:rsidRDefault="00C878D1" w:rsidP="00E638D7">
      <w:pPr>
        <w:pStyle w:val="Level3"/>
        <w:tabs>
          <w:tab w:val="clear" w:pos="992"/>
          <w:tab w:val="clear" w:pos="2268"/>
          <w:tab w:val="clear" w:pos="3686"/>
          <w:tab w:val="left" w:pos="-1980"/>
          <w:tab w:val="left" w:pos="0"/>
        </w:tabs>
        <w:spacing w:before="0" w:after="120" w:line="240" w:lineRule="auto"/>
        <w:ind w:left="1701" w:hanging="709"/>
        <w:rPr>
          <w:rFonts w:asciiTheme="minorHAnsi" w:hAnsiTheme="minorHAnsi" w:cs="Arial"/>
          <w:sz w:val="20"/>
        </w:rPr>
      </w:pPr>
      <w:r w:rsidRPr="00160BC7">
        <w:rPr>
          <w:rFonts w:asciiTheme="minorHAnsi" w:hAnsiTheme="minorHAnsi" w:cs="Arial"/>
          <w:sz w:val="20"/>
        </w:rPr>
        <w:tab/>
      </w:r>
    </w:p>
    <w:p w14:paraId="143E77A9" w14:textId="77777777" w:rsidR="00160BC7" w:rsidRPr="009313AA" w:rsidRDefault="00E638D7" w:rsidP="009313AA">
      <w:pPr>
        <w:pStyle w:val="Heading3"/>
        <w:numPr>
          <w:ilvl w:val="1"/>
          <w:numId w:val="2"/>
        </w:numPr>
        <w:rPr>
          <w:rFonts w:asciiTheme="minorHAnsi" w:hAnsiTheme="minorHAnsi"/>
          <w:color w:val="92D050"/>
          <w:szCs w:val="20"/>
        </w:rPr>
      </w:pPr>
      <w:bookmarkStart w:id="10" w:name="_Toc209521894"/>
      <w:r>
        <w:rPr>
          <w:rFonts w:asciiTheme="minorHAnsi" w:hAnsiTheme="minorHAnsi"/>
          <w:color w:val="92D050"/>
          <w:szCs w:val="20"/>
        </w:rPr>
        <w:t xml:space="preserve">TIMING OF </w:t>
      </w:r>
      <w:r w:rsidR="008D0C5F">
        <w:rPr>
          <w:rFonts w:asciiTheme="minorHAnsi" w:hAnsiTheme="minorHAnsi"/>
          <w:color w:val="92D050"/>
          <w:szCs w:val="20"/>
        </w:rPr>
        <w:t>JSE CLEAR</w:t>
      </w:r>
      <w:r>
        <w:rPr>
          <w:rFonts w:asciiTheme="minorHAnsi" w:hAnsiTheme="minorHAnsi"/>
          <w:color w:val="92D050"/>
          <w:szCs w:val="20"/>
        </w:rPr>
        <w:t>’S PAYMENTS</w:t>
      </w:r>
      <w:bookmarkEnd w:id="10"/>
    </w:p>
    <w:p w14:paraId="3B814252" w14:textId="236BBFA4" w:rsidR="00903E4F" w:rsidRPr="00903E4F" w:rsidRDefault="00903E4F" w:rsidP="00903E4F">
      <w:pPr>
        <w:ind w:left="1080"/>
        <w:rPr>
          <w:rFonts w:asciiTheme="minorHAnsi" w:hAnsiTheme="minorHAnsi"/>
        </w:rPr>
      </w:pPr>
      <w:proofErr w:type="gramStart"/>
      <w:r w:rsidRPr="00903E4F">
        <w:rPr>
          <w:rFonts w:asciiTheme="minorHAnsi" w:hAnsiTheme="minorHAnsi"/>
        </w:rPr>
        <w:t>On a daily basis</w:t>
      </w:r>
      <w:proofErr w:type="gramEnd"/>
      <w:r w:rsidR="00474C03">
        <w:rPr>
          <w:rFonts w:asciiTheme="minorHAnsi" w:hAnsiTheme="minorHAnsi"/>
        </w:rPr>
        <w:t>,</w:t>
      </w:r>
      <w:r w:rsidRPr="00903E4F">
        <w:rPr>
          <w:rFonts w:asciiTheme="minorHAnsi" w:hAnsiTheme="minorHAnsi"/>
        </w:rPr>
        <w:t xml:space="preserve"> </w:t>
      </w:r>
      <w:r w:rsidR="00180C7D">
        <w:t>JSE Clear</w:t>
      </w:r>
      <w:r w:rsidRPr="00903E4F">
        <w:rPr>
          <w:rFonts w:asciiTheme="minorHAnsi" w:hAnsiTheme="minorHAnsi"/>
        </w:rPr>
        <w:t xml:space="preserve"> receives variation margin from market participants whose exchange traded positions have decreased in value</w:t>
      </w:r>
      <w:r w:rsidR="00BE4CFF">
        <w:rPr>
          <w:rFonts w:asciiTheme="minorHAnsi" w:hAnsiTheme="minorHAnsi"/>
        </w:rPr>
        <w:t xml:space="preserve"> (</w:t>
      </w:r>
      <w:r w:rsidR="00857BA7">
        <w:rPr>
          <w:rFonts w:asciiTheme="minorHAnsi" w:hAnsiTheme="minorHAnsi"/>
        </w:rPr>
        <w:t>v</w:t>
      </w:r>
      <w:r w:rsidR="00BE4CFF">
        <w:rPr>
          <w:rFonts w:asciiTheme="minorHAnsi" w:hAnsiTheme="minorHAnsi"/>
        </w:rPr>
        <w:t>aria</w:t>
      </w:r>
      <w:r w:rsidR="00D52518">
        <w:rPr>
          <w:rFonts w:asciiTheme="minorHAnsi" w:hAnsiTheme="minorHAnsi"/>
        </w:rPr>
        <w:t>tion margin loser</w:t>
      </w:r>
      <w:r w:rsidR="00BE4CFF">
        <w:rPr>
          <w:rFonts w:asciiTheme="minorHAnsi" w:hAnsiTheme="minorHAnsi"/>
        </w:rPr>
        <w:t>)</w:t>
      </w:r>
      <w:r w:rsidR="00814184">
        <w:rPr>
          <w:rFonts w:asciiTheme="minorHAnsi" w:hAnsiTheme="minorHAnsi"/>
        </w:rPr>
        <w:t>. In the markets where the JSE Clear applies</w:t>
      </w:r>
      <w:r w:rsidR="002205C4">
        <w:rPr>
          <w:rFonts w:asciiTheme="minorHAnsi" w:hAnsiTheme="minorHAnsi"/>
        </w:rPr>
        <w:t xml:space="preserve"> the Realised Variation Margin Methodology (RVM),</w:t>
      </w:r>
      <w:r w:rsidR="00A35A80">
        <w:rPr>
          <w:rFonts w:asciiTheme="minorHAnsi" w:hAnsiTheme="minorHAnsi"/>
        </w:rPr>
        <w:t xml:space="preserve"> </w:t>
      </w:r>
      <w:r w:rsidR="005E1021">
        <w:rPr>
          <w:rFonts w:asciiTheme="minorHAnsi" w:hAnsiTheme="minorHAnsi"/>
        </w:rPr>
        <w:t xml:space="preserve">it will </w:t>
      </w:r>
      <w:r w:rsidRPr="00903E4F">
        <w:rPr>
          <w:rFonts w:asciiTheme="minorHAnsi" w:hAnsiTheme="minorHAnsi"/>
        </w:rPr>
        <w:t>pay</w:t>
      </w:r>
      <w:r w:rsidR="005E1021">
        <w:rPr>
          <w:rFonts w:asciiTheme="minorHAnsi" w:hAnsiTheme="minorHAnsi"/>
        </w:rPr>
        <w:t xml:space="preserve"> th</w:t>
      </w:r>
      <w:r w:rsidR="00990ED3">
        <w:rPr>
          <w:rFonts w:asciiTheme="minorHAnsi" w:hAnsiTheme="minorHAnsi"/>
        </w:rPr>
        <w:t xml:space="preserve">e </w:t>
      </w:r>
      <w:r w:rsidRPr="00903E4F">
        <w:rPr>
          <w:rFonts w:asciiTheme="minorHAnsi" w:hAnsiTheme="minorHAnsi"/>
        </w:rPr>
        <w:t xml:space="preserve">variation margin </w:t>
      </w:r>
      <w:r w:rsidR="00BE4CFF">
        <w:rPr>
          <w:rFonts w:asciiTheme="minorHAnsi" w:hAnsiTheme="minorHAnsi"/>
        </w:rPr>
        <w:t xml:space="preserve">received </w:t>
      </w:r>
      <w:r w:rsidRPr="00903E4F">
        <w:rPr>
          <w:rFonts w:asciiTheme="minorHAnsi" w:hAnsiTheme="minorHAnsi"/>
        </w:rPr>
        <w:t>to participants whose exchange traded positions have increased in value</w:t>
      </w:r>
      <w:r w:rsidR="00990ED3">
        <w:rPr>
          <w:rFonts w:asciiTheme="minorHAnsi" w:hAnsiTheme="minorHAnsi"/>
        </w:rPr>
        <w:t xml:space="preserve"> (</w:t>
      </w:r>
      <w:r w:rsidR="00857BA7">
        <w:rPr>
          <w:rFonts w:asciiTheme="minorHAnsi" w:hAnsiTheme="minorHAnsi"/>
        </w:rPr>
        <w:t>v</w:t>
      </w:r>
      <w:r w:rsidR="00990ED3">
        <w:rPr>
          <w:rFonts w:asciiTheme="minorHAnsi" w:hAnsiTheme="minorHAnsi"/>
        </w:rPr>
        <w:t>ariation margin winner)</w:t>
      </w:r>
      <w:r w:rsidR="007A5B82">
        <w:rPr>
          <w:rFonts w:asciiTheme="minorHAnsi" w:hAnsiTheme="minorHAnsi"/>
        </w:rPr>
        <w:t xml:space="preserve"> In the markets where </w:t>
      </w:r>
      <w:r w:rsidR="009D209F">
        <w:rPr>
          <w:rFonts w:asciiTheme="minorHAnsi" w:hAnsiTheme="minorHAnsi"/>
        </w:rPr>
        <w:t xml:space="preserve">the JSE Clear applies the Contingent Variation Margin Methodology (CVM), </w:t>
      </w:r>
      <w:r w:rsidR="003F6210">
        <w:rPr>
          <w:rFonts w:asciiTheme="minorHAnsi" w:hAnsiTheme="minorHAnsi"/>
        </w:rPr>
        <w:t>the variation margin received from the variation margin loser will be held by the CCP</w:t>
      </w:r>
      <w:r w:rsidR="00143036">
        <w:rPr>
          <w:rFonts w:asciiTheme="minorHAnsi" w:hAnsiTheme="minorHAnsi"/>
        </w:rPr>
        <w:t xml:space="preserve"> a</w:t>
      </w:r>
      <w:r w:rsidR="00403214">
        <w:rPr>
          <w:rFonts w:asciiTheme="minorHAnsi" w:hAnsiTheme="minorHAnsi"/>
        </w:rPr>
        <w:t xml:space="preserve">nd </w:t>
      </w:r>
      <w:r w:rsidR="00143036">
        <w:rPr>
          <w:rFonts w:asciiTheme="minorHAnsi" w:hAnsiTheme="minorHAnsi"/>
        </w:rPr>
        <w:t>a theoretical credit</w:t>
      </w:r>
      <w:r w:rsidR="00403214">
        <w:rPr>
          <w:rFonts w:asciiTheme="minorHAnsi" w:hAnsiTheme="minorHAnsi"/>
        </w:rPr>
        <w:t xml:space="preserve"> will be recorded</w:t>
      </w:r>
      <w:r w:rsidR="00143036">
        <w:rPr>
          <w:rFonts w:asciiTheme="minorHAnsi" w:hAnsiTheme="minorHAnsi"/>
        </w:rPr>
        <w:t xml:space="preserve"> for the account of the variation margin winner (i.e. </w:t>
      </w:r>
      <w:r w:rsidR="00487111">
        <w:rPr>
          <w:rFonts w:asciiTheme="minorHAnsi" w:hAnsiTheme="minorHAnsi"/>
        </w:rPr>
        <w:t>variation margin profits are not paid forward to the variation margin winner</w:t>
      </w:r>
      <w:r w:rsidR="00143036">
        <w:rPr>
          <w:rFonts w:asciiTheme="minorHAnsi" w:hAnsiTheme="minorHAnsi"/>
        </w:rPr>
        <w:t>)</w:t>
      </w:r>
      <w:r w:rsidR="00CB7098">
        <w:rPr>
          <w:rFonts w:asciiTheme="minorHAnsi" w:hAnsiTheme="minorHAnsi"/>
        </w:rPr>
        <w:t>.</w:t>
      </w:r>
    </w:p>
    <w:p w14:paraId="68DA18E8" w14:textId="77777777" w:rsidR="00903E4F" w:rsidRPr="00903E4F" w:rsidRDefault="00903E4F" w:rsidP="00903E4F">
      <w:pPr>
        <w:ind w:left="1080"/>
        <w:rPr>
          <w:rFonts w:asciiTheme="minorHAnsi" w:hAnsiTheme="minorHAnsi"/>
        </w:rPr>
      </w:pPr>
    </w:p>
    <w:p w14:paraId="11FA6350" w14:textId="6B301632" w:rsidR="00903E4F" w:rsidRDefault="00903E4F" w:rsidP="00903E4F">
      <w:pPr>
        <w:ind w:left="1080"/>
        <w:rPr>
          <w:rFonts w:asciiTheme="minorHAnsi" w:hAnsiTheme="minorHAnsi"/>
        </w:rPr>
      </w:pPr>
      <w:r w:rsidRPr="00903E4F">
        <w:rPr>
          <w:rFonts w:asciiTheme="minorHAnsi" w:hAnsiTheme="minorHAnsi"/>
        </w:rPr>
        <w:t xml:space="preserve">It is important to note that a </w:t>
      </w:r>
      <w:r w:rsidR="00AC0434">
        <w:rPr>
          <w:rFonts w:asciiTheme="minorHAnsi" w:hAnsiTheme="minorHAnsi"/>
        </w:rPr>
        <w:t>C</w:t>
      </w:r>
      <w:r w:rsidRPr="00903E4F">
        <w:rPr>
          <w:rFonts w:asciiTheme="minorHAnsi" w:hAnsiTheme="minorHAnsi"/>
        </w:rPr>
        <w:t xml:space="preserve">learing </w:t>
      </w:r>
      <w:r w:rsidR="00AC0434">
        <w:rPr>
          <w:rFonts w:asciiTheme="minorHAnsi" w:hAnsiTheme="minorHAnsi"/>
        </w:rPr>
        <w:t>M</w:t>
      </w:r>
      <w:r w:rsidRPr="00903E4F">
        <w:rPr>
          <w:rFonts w:asciiTheme="minorHAnsi" w:hAnsiTheme="minorHAnsi"/>
        </w:rPr>
        <w:t xml:space="preserve">ember's failure to satisfy </w:t>
      </w:r>
      <w:proofErr w:type="gramStart"/>
      <w:r w:rsidRPr="00903E4F">
        <w:rPr>
          <w:rFonts w:asciiTheme="minorHAnsi" w:hAnsiTheme="minorHAnsi"/>
        </w:rPr>
        <w:t>its</w:t>
      </w:r>
      <w:proofErr w:type="gramEnd"/>
      <w:r w:rsidRPr="00903E4F">
        <w:rPr>
          <w:rFonts w:asciiTheme="minorHAnsi" w:hAnsiTheme="minorHAnsi"/>
        </w:rPr>
        <w:t xml:space="preserve"> payment obligations (</w:t>
      </w:r>
      <w:r w:rsidR="00466E3A">
        <w:rPr>
          <w:rFonts w:asciiTheme="minorHAnsi" w:hAnsiTheme="minorHAnsi"/>
        </w:rPr>
        <w:t>this is the JSE</w:t>
      </w:r>
      <w:r w:rsidR="00302950">
        <w:rPr>
          <w:rFonts w:asciiTheme="minorHAnsi" w:hAnsiTheme="minorHAnsi"/>
        </w:rPr>
        <w:t xml:space="preserve"> </w:t>
      </w:r>
      <w:r w:rsidR="005E72CD">
        <w:rPr>
          <w:rFonts w:asciiTheme="minorHAnsi" w:hAnsiTheme="minorHAnsi"/>
        </w:rPr>
        <w:t xml:space="preserve">Clear </w:t>
      </w:r>
      <w:r w:rsidR="00044FD6">
        <w:rPr>
          <w:rFonts w:asciiTheme="minorHAnsi" w:hAnsiTheme="minorHAnsi"/>
        </w:rPr>
        <w:t xml:space="preserve">Rules’ </w:t>
      </w:r>
      <w:r w:rsidR="00466E3A">
        <w:rPr>
          <w:rFonts w:asciiTheme="minorHAnsi" w:hAnsiTheme="minorHAnsi"/>
        </w:rPr>
        <w:t>definition of</w:t>
      </w:r>
      <w:r w:rsidRPr="00903E4F">
        <w:rPr>
          <w:rFonts w:asciiTheme="minorHAnsi" w:hAnsiTheme="minorHAnsi"/>
        </w:rPr>
        <w:t xml:space="preserve"> </w:t>
      </w:r>
      <w:r w:rsidR="00044FD6">
        <w:rPr>
          <w:rFonts w:asciiTheme="minorHAnsi" w:hAnsiTheme="minorHAnsi"/>
        </w:rPr>
        <w:t xml:space="preserve">a </w:t>
      </w:r>
      <w:r w:rsidRPr="00903E4F">
        <w:rPr>
          <w:rFonts w:asciiTheme="minorHAnsi" w:hAnsiTheme="minorHAnsi"/>
        </w:rPr>
        <w:t xml:space="preserve">default) may not always be a result of the relevant </w:t>
      </w:r>
      <w:r w:rsidR="00063F76">
        <w:rPr>
          <w:rFonts w:asciiTheme="minorHAnsi" w:hAnsiTheme="minorHAnsi"/>
        </w:rPr>
        <w:t>C</w:t>
      </w:r>
      <w:r w:rsidRPr="00903E4F">
        <w:rPr>
          <w:rFonts w:asciiTheme="minorHAnsi" w:hAnsiTheme="minorHAnsi"/>
        </w:rPr>
        <w:t xml:space="preserve">learing </w:t>
      </w:r>
      <w:r w:rsidR="00063F76">
        <w:rPr>
          <w:rFonts w:asciiTheme="minorHAnsi" w:hAnsiTheme="minorHAnsi"/>
        </w:rPr>
        <w:t>M</w:t>
      </w:r>
      <w:r w:rsidRPr="00903E4F">
        <w:rPr>
          <w:rFonts w:asciiTheme="minorHAnsi" w:hAnsiTheme="minorHAnsi"/>
        </w:rPr>
        <w:t xml:space="preserve">ember being in financial difficulty. Clearing </w:t>
      </w:r>
      <w:r w:rsidR="00AC0434">
        <w:rPr>
          <w:rFonts w:asciiTheme="minorHAnsi" w:hAnsiTheme="minorHAnsi"/>
        </w:rPr>
        <w:t>M</w:t>
      </w:r>
      <w:r w:rsidRPr="00903E4F">
        <w:rPr>
          <w:rFonts w:asciiTheme="minorHAnsi" w:hAnsiTheme="minorHAnsi"/>
        </w:rPr>
        <w:t xml:space="preserve">embers may be unable to settle payment obligations immediately due to operational difficulties or system errors and not </w:t>
      </w:r>
      <w:proofErr w:type="gramStart"/>
      <w:r w:rsidRPr="00903E4F">
        <w:rPr>
          <w:rFonts w:asciiTheme="minorHAnsi" w:hAnsiTheme="minorHAnsi"/>
        </w:rPr>
        <w:t>as a result of</w:t>
      </w:r>
      <w:proofErr w:type="gramEnd"/>
      <w:r w:rsidRPr="00903E4F">
        <w:rPr>
          <w:rFonts w:asciiTheme="minorHAnsi" w:hAnsiTheme="minorHAnsi"/>
        </w:rPr>
        <w:t xml:space="preserve"> being under financial stress. This notwithstanding, a </w:t>
      </w:r>
      <w:r w:rsidR="00AC0434">
        <w:rPr>
          <w:rFonts w:asciiTheme="minorHAnsi" w:hAnsiTheme="minorHAnsi"/>
        </w:rPr>
        <w:t>C</w:t>
      </w:r>
      <w:r w:rsidR="00A33291">
        <w:rPr>
          <w:rFonts w:asciiTheme="minorHAnsi" w:hAnsiTheme="minorHAnsi"/>
        </w:rPr>
        <w:t xml:space="preserve">learing </w:t>
      </w:r>
      <w:r w:rsidR="00AC0434">
        <w:rPr>
          <w:rFonts w:asciiTheme="minorHAnsi" w:hAnsiTheme="minorHAnsi"/>
        </w:rPr>
        <w:t>M</w:t>
      </w:r>
      <w:r w:rsidR="00A33291">
        <w:rPr>
          <w:rFonts w:asciiTheme="minorHAnsi" w:hAnsiTheme="minorHAnsi"/>
        </w:rPr>
        <w:t xml:space="preserve">ember’s </w:t>
      </w:r>
      <w:r w:rsidRPr="00903E4F">
        <w:rPr>
          <w:rFonts w:asciiTheme="minorHAnsi" w:hAnsiTheme="minorHAnsi"/>
        </w:rPr>
        <w:t xml:space="preserve">failure to </w:t>
      </w:r>
      <w:r w:rsidR="00A33291">
        <w:rPr>
          <w:rFonts w:asciiTheme="minorHAnsi" w:hAnsiTheme="minorHAnsi"/>
        </w:rPr>
        <w:t xml:space="preserve">meet its obligation to </w:t>
      </w:r>
      <w:r w:rsidRPr="00903E4F">
        <w:rPr>
          <w:rFonts w:asciiTheme="minorHAnsi" w:hAnsiTheme="minorHAnsi"/>
        </w:rPr>
        <w:t>pay is still a default as defined in the Rules.</w:t>
      </w:r>
    </w:p>
    <w:p w14:paraId="4DC09E2C" w14:textId="77777777" w:rsidR="00903E4F" w:rsidRDefault="00903E4F" w:rsidP="00903E4F">
      <w:pPr>
        <w:ind w:left="1080"/>
        <w:rPr>
          <w:rFonts w:asciiTheme="minorHAnsi" w:hAnsiTheme="minorHAnsi"/>
        </w:rPr>
      </w:pPr>
    </w:p>
    <w:p w14:paraId="7180DAF8" w14:textId="3ABEA7A2" w:rsidR="00903E4F" w:rsidRDefault="00180C7D" w:rsidP="00903E4F">
      <w:pPr>
        <w:ind w:left="1080"/>
      </w:pPr>
      <w:r>
        <w:t xml:space="preserve">JSE Clear </w:t>
      </w:r>
      <w:r w:rsidR="000C19FB">
        <w:t>will</w:t>
      </w:r>
      <w:r w:rsidR="00A33291">
        <w:t xml:space="preserve"> only enforce its default rules and invoke the </w:t>
      </w:r>
      <w:r w:rsidR="000C19FB">
        <w:t xml:space="preserve">default procedures in </w:t>
      </w:r>
      <w:r w:rsidR="00A33291">
        <w:t xml:space="preserve">circumstances where </w:t>
      </w:r>
      <w:r>
        <w:t xml:space="preserve">JSE Clear </w:t>
      </w:r>
      <w:r w:rsidR="00A33291">
        <w:t xml:space="preserve">has clearly established that a </w:t>
      </w:r>
      <w:r w:rsidR="0052577E">
        <w:t>C</w:t>
      </w:r>
      <w:r w:rsidR="00A33291">
        <w:t xml:space="preserve">learing </w:t>
      </w:r>
      <w:r w:rsidR="0052577E">
        <w:t>M</w:t>
      </w:r>
      <w:r w:rsidR="00A33291">
        <w:t>ember’s failure to meet its obligations is factually caused by</w:t>
      </w:r>
      <w:r w:rsidR="00E71D2C">
        <w:t xml:space="preserve"> an inability to pay</w:t>
      </w:r>
      <w:r w:rsidR="00A7799C">
        <w:t>, and after obtaining concurrence</w:t>
      </w:r>
      <w:r w:rsidR="006E73D3">
        <w:t xml:space="preserve"> from the South African Reserve Bank (SARB)</w:t>
      </w:r>
      <w:r w:rsidR="00E71D2C">
        <w:t xml:space="preserve">. </w:t>
      </w:r>
    </w:p>
    <w:p w14:paraId="775D45E4" w14:textId="77777777" w:rsidR="00903E4F" w:rsidRDefault="00903E4F" w:rsidP="00044FD6"/>
    <w:p w14:paraId="504F27F3" w14:textId="2C8508B6" w:rsidR="00903E4F" w:rsidRDefault="00175B39" w:rsidP="00903E4F">
      <w:pPr>
        <w:ind w:left="1080"/>
      </w:pPr>
      <w:r>
        <w:t xml:space="preserve">When a </w:t>
      </w:r>
      <w:r w:rsidR="0052577E">
        <w:t>C</w:t>
      </w:r>
      <w:r>
        <w:t xml:space="preserve">learing </w:t>
      </w:r>
      <w:r w:rsidR="0052577E">
        <w:t>M</w:t>
      </w:r>
      <w:r>
        <w:t xml:space="preserve">ember defaults, </w:t>
      </w:r>
      <w:r w:rsidR="00985450">
        <w:t xml:space="preserve">its </w:t>
      </w:r>
      <w:r>
        <w:t>positions</w:t>
      </w:r>
      <w:r w:rsidR="00535781">
        <w:t xml:space="preserve">, </w:t>
      </w:r>
      <w:r w:rsidR="00070AA3">
        <w:t xml:space="preserve">the positions of all defaulting entities </w:t>
      </w:r>
      <w:r w:rsidR="00276D30">
        <w:t xml:space="preserve">and </w:t>
      </w:r>
      <w:r w:rsidR="00535781">
        <w:t xml:space="preserve">the positions of </w:t>
      </w:r>
      <w:r w:rsidR="00276D30">
        <w:t xml:space="preserve">healthy entities </w:t>
      </w:r>
      <w:r w:rsidR="00070AA3">
        <w:t xml:space="preserve">under the </w:t>
      </w:r>
      <w:r w:rsidR="00063F76">
        <w:t>C</w:t>
      </w:r>
      <w:r w:rsidR="00070AA3">
        <w:t xml:space="preserve">learing </w:t>
      </w:r>
      <w:r w:rsidR="00063F76">
        <w:t>M</w:t>
      </w:r>
      <w:r w:rsidR="00070AA3">
        <w:t xml:space="preserve">ember </w:t>
      </w:r>
      <w:r w:rsidR="004B6059">
        <w:t xml:space="preserve">who aren’t ported, </w:t>
      </w:r>
      <w:r>
        <w:t>will be closed out</w:t>
      </w:r>
      <w:r w:rsidR="000C523F">
        <w:t xml:space="preserve">. </w:t>
      </w:r>
      <w:r w:rsidR="00070AA3">
        <w:t xml:space="preserve"> </w:t>
      </w:r>
      <w:r w:rsidR="002B2FD7">
        <w:t>Before the</w:t>
      </w:r>
      <w:r w:rsidR="00D61D35">
        <w:t>se</w:t>
      </w:r>
      <w:r w:rsidR="002B2FD7">
        <w:t xml:space="preserve"> positions have been closed out</w:t>
      </w:r>
      <w:r w:rsidR="00DB4A3C">
        <w:t>,</w:t>
      </w:r>
      <w:r w:rsidR="002B2FD7">
        <w:t xml:space="preserve"> t</w:t>
      </w:r>
      <w:r w:rsidR="000C523F">
        <w:t xml:space="preserve">he JSE Clear liquidity </w:t>
      </w:r>
      <w:r w:rsidR="008A01AA">
        <w:t xml:space="preserve">facilities </w:t>
      </w:r>
      <w:r w:rsidR="007556B6">
        <w:t xml:space="preserve">may </w:t>
      </w:r>
      <w:r w:rsidR="000C523F">
        <w:t xml:space="preserve">be </w:t>
      </w:r>
      <w:r w:rsidR="007B08D0">
        <w:t>utilised</w:t>
      </w:r>
      <w:r w:rsidR="00E85751">
        <w:t>,</w:t>
      </w:r>
      <w:r w:rsidR="00FD2568">
        <w:t xml:space="preserve"> up to the </w:t>
      </w:r>
      <w:r w:rsidR="004F3AF6">
        <w:t xml:space="preserve">value of </w:t>
      </w:r>
      <w:r w:rsidR="00113BDE">
        <w:t xml:space="preserve">the initial margin </w:t>
      </w:r>
      <w:r w:rsidR="004F3AF6">
        <w:t xml:space="preserve">of the </w:t>
      </w:r>
      <w:r w:rsidR="00113BDE">
        <w:t>default</w:t>
      </w:r>
      <w:r w:rsidR="002D1017">
        <w:t>ing entit</w:t>
      </w:r>
      <w:r w:rsidR="004F3AF6">
        <w:t>ies</w:t>
      </w:r>
      <w:r w:rsidR="00E85751">
        <w:t>,</w:t>
      </w:r>
      <w:r w:rsidR="00113BDE">
        <w:t xml:space="preserve"> </w:t>
      </w:r>
      <w:r w:rsidR="002B2FD7">
        <w:t>to meet the varia</w:t>
      </w:r>
      <w:r w:rsidR="00113BDE">
        <w:t xml:space="preserve">tion margin obligations </w:t>
      </w:r>
      <w:r w:rsidR="00FD2568">
        <w:t xml:space="preserve">of </w:t>
      </w:r>
      <w:r w:rsidR="008E5FC9">
        <w:t xml:space="preserve">those </w:t>
      </w:r>
      <w:r w:rsidR="002D1017">
        <w:t>entities</w:t>
      </w:r>
      <w:r w:rsidR="00FD2568">
        <w:t xml:space="preserve">.  Once the positions have been closed </w:t>
      </w:r>
      <w:r w:rsidR="00A2117F">
        <w:t xml:space="preserve">out, </w:t>
      </w:r>
      <w:r>
        <w:t>the initial margin</w:t>
      </w:r>
      <w:r w:rsidR="006A6B8B">
        <w:t xml:space="preserve"> </w:t>
      </w:r>
      <w:r w:rsidR="00A2117F">
        <w:t xml:space="preserve">of the </w:t>
      </w:r>
      <w:r w:rsidR="00C62C86">
        <w:t xml:space="preserve">affected </w:t>
      </w:r>
      <w:r w:rsidR="002D1017">
        <w:t>entities</w:t>
      </w:r>
      <w:r w:rsidR="00A2117F">
        <w:t xml:space="preserve"> </w:t>
      </w:r>
      <w:r>
        <w:t xml:space="preserve">will </w:t>
      </w:r>
      <w:r w:rsidR="00985450">
        <w:t xml:space="preserve">be used </w:t>
      </w:r>
      <w:r>
        <w:t xml:space="preserve">to </w:t>
      </w:r>
      <w:r w:rsidR="00377A2F">
        <w:t xml:space="preserve">meet </w:t>
      </w:r>
      <w:r w:rsidR="00DB4A3C">
        <w:t>the</w:t>
      </w:r>
      <w:r w:rsidR="00AA5403">
        <w:t>ir</w:t>
      </w:r>
      <w:r w:rsidR="00DB4A3C">
        <w:t xml:space="preserve"> </w:t>
      </w:r>
      <w:r w:rsidR="00377A2F">
        <w:t>obligations</w:t>
      </w:r>
      <w:r>
        <w:t xml:space="preserve">. Non-defaulting </w:t>
      </w:r>
      <w:r w:rsidR="0052577E">
        <w:t>T</w:t>
      </w:r>
      <w:r>
        <w:t xml:space="preserve">rading </w:t>
      </w:r>
      <w:r w:rsidR="0052577E">
        <w:t>M</w:t>
      </w:r>
      <w:r>
        <w:t xml:space="preserve">embers and clients of that </w:t>
      </w:r>
      <w:r w:rsidR="00063F76">
        <w:t>C</w:t>
      </w:r>
      <w:r>
        <w:t xml:space="preserve">learing </w:t>
      </w:r>
      <w:r w:rsidR="00063F76">
        <w:t>M</w:t>
      </w:r>
      <w:r>
        <w:t>ember will be ported where possible</w:t>
      </w:r>
      <w:r w:rsidR="00903E4F">
        <w:t>.</w:t>
      </w:r>
    </w:p>
    <w:p w14:paraId="07BC7351" w14:textId="77777777" w:rsidR="00E131FE" w:rsidRPr="009313AA" w:rsidRDefault="00903E4F" w:rsidP="009313AA">
      <w:pPr>
        <w:pStyle w:val="Heading3"/>
        <w:numPr>
          <w:ilvl w:val="1"/>
          <w:numId w:val="2"/>
        </w:numPr>
        <w:rPr>
          <w:rFonts w:asciiTheme="minorHAnsi" w:hAnsiTheme="minorHAnsi"/>
          <w:color w:val="92D050"/>
        </w:rPr>
      </w:pPr>
      <w:bookmarkStart w:id="11" w:name="_Toc209521895"/>
      <w:r>
        <w:rPr>
          <w:rFonts w:asciiTheme="minorHAnsi" w:hAnsiTheme="minorHAnsi"/>
          <w:color w:val="92D050"/>
        </w:rPr>
        <w:t>PROVISION OF LIQUIDITY</w:t>
      </w:r>
      <w:bookmarkEnd w:id="11"/>
    </w:p>
    <w:p w14:paraId="239A1B4F" w14:textId="5445B243" w:rsidR="00903E4F" w:rsidRPr="00C34AC4" w:rsidRDefault="00776AB9" w:rsidP="00C34AC4">
      <w:pPr>
        <w:ind w:left="1077"/>
      </w:pPr>
      <w:r>
        <w:t>Unlike a bank</w:t>
      </w:r>
      <w:r w:rsidR="00C34AC4">
        <w:t>,</w:t>
      </w:r>
      <w:r>
        <w:t xml:space="preserve"> </w:t>
      </w:r>
      <w:proofErr w:type="gramStart"/>
      <w:r>
        <w:t>a CCP</w:t>
      </w:r>
      <w:proofErr w:type="gramEnd"/>
      <w:r>
        <w:t xml:space="preserve"> is not a source of liquidity. </w:t>
      </w:r>
      <w:r w:rsidR="00180C7D">
        <w:t xml:space="preserve">JSE Clear </w:t>
      </w:r>
      <w:r w:rsidR="00903E4F" w:rsidRPr="00903E4F">
        <w:t xml:space="preserve">does not </w:t>
      </w:r>
      <w:r>
        <w:t>maintain</w:t>
      </w:r>
      <w:r w:rsidR="00903E4F" w:rsidRPr="00903E4F">
        <w:t xml:space="preserve"> resources readily available to fund a shortfall in obligations of </w:t>
      </w:r>
      <w:r>
        <w:t xml:space="preserve">any of </w:t>
      </w:r>
      <w:r w:rsidR="00903E4F" w:rsidRPr="00903E4F">
        <w:t xml:space="preserve">its </w:t>
      </w:r>
      <w:r w:rsidR="002A70A9">
        <w:t>C</w:t>
      </w:r>
      <w:r w:rsidR="00903E4F" w:rsidRPr="00903E4F">
        <w:t xml:space="preserve">learing </w:t>
      </w:r>
      <w:r w:rsidR="002A70A9">
        <w:t>M</w:t>
      </w:r>
      <w:r w:rsidR="00903E4F" w:rsidRPr="00903E4F">
        <w:t xml:space="preserve">embers. </w:t>
      </w:r>
      <w:r w:rsidR="00180C7D">
        <w:t xml:space="preserve">JSE Clear </w:t>
      </w:r>
      <w:r w:rsidR="00903E4F" w:rsidRPr="00903E4F">
        <w:t xml:space="preserve">will only </w:t>
      </w:r>
      <w:r w:rsidR="00044FD6">
        <w:t xml:space="preserve">consider accessing </w:t>
      </w:r>
      <w:r>
        <w:t xml:space="preserve">its liquid resources or its </w:t>
      </w:r>
      <w:r w:rsidR="00044FD6">
        <w:t xml:space="preserve">liquidity facilities to </w:t>
      </w:r>
      <w:r>
        <w:t>ensure speedy settlement of immediate obligations i</w:t>
      </w:r>
      <w:r w:rsidR="00903E4F">
        <w:t xml:space="preserve">f a </w:t>
      </w:r>
      <w:r w:rsidR="002A70A9">
        <w:t>C</w:t>
      </w:r>
      <w:r w:rsidR="00903E4F">
        <w:t xml:space="preserve">learing </w:t>
      </w:r>
      <w:r w:rsidR="002A70A9">
        <w:t>M</w:t>
      </w:r>
      <w:r w:rsidR="00903E4F">
        <w:t xml:space="preserve">ember is in default and </w:t>
      </w:r>
      <w:r w:rsidR="00180C7D">
        <w:t xml:space="preserve">JSE Clear </w:t>
      </w:r>
      <w:r w:rsidR="00903E4F">
        <w:t>has initiated the default procedures.</w:t>
      </w:r>
    </w:p>
    <w:p w14:paraId="6A16628A" w14:textId="77777777" w:rsidR="00903E4F" w:rsidRPr="009313AA" w:rsidRDefault="00903E4F" w:rsidP="00903E4F">
      <w:pPr>
        <w:pStyle w:val="Heading3"/>
        <w:numPr>
          <w:ilvl w:val="1"/>
          <w:numId w:val="2"/>
        </w:numPr>
        <w:rPr>
          <w:rFonts w:asciiTheme="minorHAnsi" w:hAnsiTheme="minorHAnsi"/>
          <w:color w:val="92D050"/>
        </w:rPr>
      </w:pPr>
      <w:bookmarkStart w:id="12" w:name="_Toc209521896"/>
      <w:r>
        <w:rPr>
          <w:rFonts w:asciiTheme="minorHAnsi" w:hAnsiTheme="minorHAnsi"/>
          <w:color w:val="92D050"/>
        </w:rPr>
        <w:t>SOURCES OF LIQUIDITY</w:t>
      </w:r>
      <w:bookmarkEnd w:id="12"/>
    </w:p>
    <w:p w14:paraId="632B7E89" w14:textId="058C5A2C" w:rsidR="00903E4F" w:rsidRDefault="00903E4F" w:rsidP="00903E4F">
      <w:pPr>
        <w:ind w:left="1080"/>
      </w:pPr>
      <w:r>
        <w:t xml:space="preserve">In the event of drawing on any liquidity facility and to the extent possible, the JSE will do so from sources other than the </w:t>
      </w:r>
      <w:r w:rsidR="002A70A9">
        <w:t>C</w:t>
      </w:r>
      <w:r>
        <w:t xml:space="preserve">learing </w:t>
      </w:r>
      <w:r w:rsidR="002A70A9">
        <w:t>M</w:t>
      </w:r>
      <w:r>
        <w:t xml:space="preserve">ember that has caused the need for the liquidity facility to be used. This will </w:t>
      </w:r>
      <w:proofErr w:type="gramStart"/>
      <w:r>
        <w:t>prevent increasing</w:t>
      </w:r>
      <w:proofErr w:type="gramEnd"/>
      <w:r>
        <w:t xml:space="preserve"> the </w:t>
      </w:r>
      <w:proofErr w:type="gramStart"/>
      <w:r>
        <w:t>liquidity stress</w:t>
      </w:r>
      <w:proofErr w:type="gramEnd"/>
      <w:r>
        <w:t xml:space="preserve"> at that </w:t>
      </w:r>
      <w:r w:rsidR="00063F76">
        <w:t>C</w:t>
      </w:r>
      <w:r>
        <w:t xml:space="preserve">learing </w:t>
      </w:r>
      <w:r w:rsidR="00063F76">
        <w:t>M</w:t>
      </w:r>
      <w:r>
        <w:t xml:space="preserve">ember. </w:t>
      </w:r>
    </w:p>
    <w:p w14:paraId="16A24AFA" w14:textId="77777777" w:rsidR="00552997" w:rsidRDefault="00552997" w:rsidP="00903E4F">
      <w:pPr>
        <w:ind w:left="1080"/>
      </w:pPr>
    </w:p>
    <w:p w14:paraId="6B23204D" w14:textId="4A4D46D4" w:rsidR="00903E4F" w:rsidRDefault="00903E4F" w:rsidP="00903E4F">
      <w:pPr>
        <w:ind w:left="1080"/>
      </w:pPr>
      <w:r>
        <w:t xml:space="preserve">Liquidity providers will be selected </w:t>
      </w:r>
      <w:r w:rsidR="00EF3FDF">
        <w:t xml:space="preserve">through a Request for Proposal process considering inter alia service offering and </w:t>
      </w:r>
      <w:r>
        <w:t>facility</w:t>
      </w:r>
      <w:r w:rsidR="00EF3FDF">
        <w:t xml:space="preserve"> </w:t>
      </w:r>
      <w:r>
        <w:t>fee</w:t>
      </w:r>
      <w:r w:rsidR="00EF3FDF">
        <w:t>s</w:t>
      </w:r>
      <w:r>
        <w:t xml:space="preserve">. </w:t>
      </w:r>
      <w:proofErr w:type="gramStart"/>
      <w:r>
        <w:t>A minimum of three facility providers</w:t>
      </w:r>
      <w:r w:rsidR="00433B72">
        <w:t>,</w:t>
      </w:r>
      <w:proofErr w:type="gramEnd"/>
      <w:r>
        <w:t xml:space="preserve"> will be selected to ensure that access to liquidity is not compromised </w:t>
      </w:r>
      <w:proofErr w:type="gramStart"/>
      <w:r>
        <w:t>in the event that</w:t>
      </w:r>
      <w:proofErr w:type="gramEnd"/>
      <w:r>
        <w:t xml:space="preserve"> a default occurs with one of the liquidity providers. </w:t>
      </w:r>
    </w:p>
    <w:p w14:paraId="3D9B0EC0" w14:textId="77777777" w:rsidR="00903E4F" w:rsidRPr="009313AA" w:rsidRDefault="004E1DEA" w:rsidP="00903E4F">
      <w:pPr>
        <w:pStyle w:val="Heading3"/>
        <w:numPr>
          <w:ilvl w:val="1"/>
          <w:numId w:val="2"/>
        </w:numPr>
        <w:rPr>
          <w:rFonts w:asciiTheme="minorHAnsi" w:hAnsiTheme="minorHAnsi"/>
          <w:color w:val="92D050"/>
        </w:rPr>
      </w:pPr>
      <w:bookmarkStart w:id="13" w:name="_Toc209521897"/>
      <w:r>
        <w:rPr>
          <w:rFonts w:asciiTheme="minorHAnsi" w:hAnsiTheme="minorHAnsi"/>
          <w:color w:val="92D050"/>
        </w:rPr>
        <w:t>QUANTIFICATION OF THE LIQUIDITY REQUIREMENT</w:t>
      </w:r>
      <w:bookmarkEnd w:id="13"/>
    </w:p>
    <w:p w14:paraId="0091C16F" w14:textId="44A81764" w:rsidR="004E1DEA" w:rsidRDefault="00180C7D" w:rsidP="004E1DEA">
      <w:pPr>
        <w:ind w:left="1080"/>
      </w:pPr>
      <w:r>
        <w:t xml:space="preserve">JSE Clear </w:t>
      </w:r>
      <w:r w:rsidR="004E1DEA">
        <w:t xml:space="preserve">will calculate the appropriate </w:t>
      </w:r>
      <w:proofErr w:type="gramStart"/>
      <w:r w:rsidR="004E1DEA">
        <w:t>amount</w:t>
      </w:r>
      <w:proofErr w:type="gramEnd"/>
      <w:r w:rsidR="004E1DEA">
        <w:t xml:space="preserve"> of liquid resources required to ensure continued prudent management of the CCPs liquidity profile and payment obligations. The quantum of this requirement will be reviewed annually or when a material market event occurs. Details regarding the quantification methodology can be found in </w:t>
      </w:r>
      <w:r w:rsidR="008D0C5F">
        <w:t>JSE Clear</w:t>
      </w:r>
      <w:r w:rsidR="004E1DEA" w:rsidRPr="000A2BCA">
        <w:t xml:space="preserve"> Stress Testing Policy</w:t>
      </w:r>
      <w:r w:rsidR="004E1DEA">
        <w:t xml:space="preserve"> and associated documentation. </w:t>
      </w:r>
    </w:p>
    <w:p w14:paraId="72B65F17" w14:textId="77777777" w:rsidR="00903E4F" w:rsidRPr="009313AA" w:rsidRDefault="004E1DEA" w:rsidP="00903E4F">
      <w:pPr>
        <w:pStyle w:val="Heading3"/>
        <w:numPr>
          <w:ilvl w:val="1"/>
          <w:numId w:val="2"/>
        </w:numPr>
        <w:rPr>
          <w:rFonts w:asciiTheme="minorHAnsi" w:hAnsiTheme="minorHAnsi"/>
          <w:color w:val="92D050"/>
        </w:rPr>
      </w:pPr>
      <w:bookmarkStart w:id="14" w:name="_Toc209521898"/>
      <w:r>
        <w:rPr>
          <w:rFonts w:asciiTheme="minorHAnsi" w:hAnsiTheme="minorHAnsi"/>
          <w:color w:val="92D050"/>
        </w:rPr>
        <w:t xml:space="preserve">MAXIMUM </w:t>
      </w:r>
      <w:r w:rsidR="00903E4F">
        <w:rPr>
          <w:rFonts w:asciiTheme="minorHAnsi" w:hAnsiTheme="minorHAnsi"/>
          <w:color w:val="92D050"/>
        </w:rPr>
        <w:t>PROVISION OF LIQUIDITY</w:t>
      </w:r>
      <w:bookmarkEnd w:id="14"/>
    </w:p>
    <w:p w14:paraId="4F190E61" w14:textId="3CA44262" w:rsidR="00B829A1" w:rsidRDefault="004E1DEA" w:rsidP="004E1DEA">
      <w:pPr>
        <w:ind w:left="1080"/>
      </w:pPr>
      <w:r>
        <w:t xml:space="preserve">In order to place </w:t>
      </w:r>
      <w:r w:rsidR="00180C7D">
        <w:t>JSE Clear</w:t>
      </w:r>
      <w:r>
        <w:t xml:space="preserve"> in a financial position to exercise its power to settle obligations as described above, the</w:t>
      </w:r>
      <w:r w:rsidR="00776AB9">
        <w:t xml:space="preserve"> maximum</w:t>
      </w:r>
      <w:r>
        <w:t xml:space="preserve"> amount that </w:t>
      </w:r>
      <w:r w:rsidR="00180C7D">
        <w:t xml:space="preserve">JSE Clear </w:t>
      </w:r>
      <w:r>
        <w:t xml:space="preserve">will pay on behalf of a </w:t>
      </w:r>
      <w:r w:rsidR="002305C1">
        <w:t>C</w:t>
      </w:r>
      <w:r>
        <w:t xml:space="preserve">learing </w:t>
      </w:r>
      <w:r w:rsidR="002305C1">
        <w:t>M</w:t>
      </w:r>
      <w:r>
        <w:t>ember to a market counterparty</w:t>
      </w:r>
      <w:r w:rsidR="002305C1">
        <w:t>,</w:t>
      </w:r>
      <w:r>
        <w:t xml:space="preserve"> will be limited to the amount that the </w:t>
      </w:r>
      <w:r w:rsidR="002305C1">
        <w:t>C</w:t>
      </w:r>
      <w:r>
        <w:t xml:space="preserve">learing </w:t>
      </w:r>
      <w:r w:rsidR="002305C1">
        <w:t>M</w:t>
      </w:r>
      <w:r>
        <w:t xml:space="preserve">ember has paid to </w:t>
      </w:r>
      <w:r w:rsidR="008D0C5F">
        <w:t>JSE Clear</w:t>
      </w:r>
      <w:r>
        <w:t xml:space="preserve"> as initial and additional margin</w:t>
      </w:r>
      <w:r w:rsidR="00776AB9">
        <w:t xml:space="preserve"> </w:t>
      </w:r>
      <w:r>
        <w:t xml:space="preserve">for its own positions or to the amount of the initial margin paid by the market participants for which the </w:t>
      </w:r>
      <w:r w:rsidR="00063F76">
        <w:t>C</w:t>
      </w:r>
      <w:r>
        <w:t xml:space="preserve">learing </w:t>
      </w:r>
      <w:r w:rsidR="00063F76">
        <w:t>M</w:t>
      </w:r>
      <w:r>
        <w:t>ember clears</w:t>
      </w:r>
      <w:r w:rsidR="00776AB9">
        <w:t>, plus the quantum of the default fund</w:t>
      </w:r>
      <w:r>
        <w:t xml:space="preserve">. </w:t>
      </w:r>
    </w:p>
    <w:p w14:paraId="258140CF" w14:textId="77777777" w:rsidR="002305C1" w:rsidRDefault="002305C1" w:rsidP="004E1DEA">
      <w:pPr>
        <w:ind w:left="1080"/>
      </w:pPr>
    </w:p>
    <w:p w14:paraId="2F492AB7" w14:textId="18FDCDAC" w:rsidR="007B3A21" w:rsidRDefault="00F447AB" w:rsidP="00DF78E7">
      <w:pPr>
        <w:ind w:left="1080"/>
      </w:pPr>
      <w:r>
        <w:t xml:space="preserve">Where a portion of the initial margin and/or default fund is </w:t>
      </w:r>
      <w:r w:rsidR="00302950">
        <w:t xml:space="preserve">held </w:t>
      </w:r>
      <w:r>
        <w:t>in sec</w:t>
      </w:r>
      <w:r w:rsidR="00B829A1">
        <w:t>urities</w:t>
      </w:r>
      <w:r w:rsidR="00C442F0">
        <w:t xml:space="preserve"> </w:t>
      </w:r>
      <w:r w:rsidR="004C025E">
        <w:t>and there is a need</w:t>
      </w:r>
      <w:r w:rsidR="00137F21">
        <w:t xml:space="preserve"> to</w:t>
      </w:r>
      <w:r w:rsidR="004C025E">
        <w:t xml:space="preserve"> </w:t>
      </w:r>
      <w:r w:rsidR="003A3899">
        <w:t xml:space="preserve">provide liquidity to a value over and above </w:t>
      </w:r>
      <w:r w:rsidR="002F7D1C">
        <w:t xml:space="preserve">the amount of cash margin of the defaulter, </w:t>
      </w:r>
      <w:r w:rsidR="008444C7">
        <w:t>JSE Clear will only provide liquidity against the value of securities collateral once the securities have been sold to lock in the price and confirm the proceeds that will be realised once the trades have settled.</w:t>
      </w:r>
    </w:p>
    <w:p w14:paraId="77724B33" w14:textId="77777777" w:rsidR="004E1DEA" w:rsidRPr="009313AA" w:rsidRDefault="004E1DEA" w:rsidP="004E1DEA">
      <w:pPr>
        <w:pStyle w:val="Heading3"/>
        <w:numPr>
          <w:ilvl w:val="1"/>
          <w:numId w:val="2"/>
        </w:numPr>
        <w:rPr>
          <w:rFonts w:asciiTheme="minorHAnsi" w:hAnsiTheme="minorHAnsi"/>
          <w:color w:val="92D050"/>
        </w:rPr>
      </w:pPr>
      <w:bookmarkStart w:id="15" w:name="_Toc209521899"/>
      <w:r>
        <w:rPr>
          <w:rFonts w:asciiTheme="minorHAnsi" w:hAnsiTheme="minorHAnsi"/>
          <w:color w:val="92D050"/>
        </w:rPr>
        <w:t>COSTS</w:t>
      </w:r>
      <w:bookmarkEnd w:id="15"/>
    </w:p>
    <w:p w14:paraId="76BBC83A" w14:textId="42917BB8" w:rsidR="004E1DEA" w:rsidRDefault="004E1DEA" w:rsidP="004E1DEA">
      <w:pPr>
        <w:ind w:left="1080"/>
      </w:pPr>
      <w:r>
        <w:t xml:space="preserve">These liquidity facilities are for the benefit of the market, the costs incurred in maintaining these facilities will be borne by the </w:t>
      </w:r>
      <w:r w:rsidR="00063F76">
        <w:t>C</w:t>
      </w:r>
      <w:r>
        <w:t xml:space="preserve">learing </w:t>
      </w:r>
      <w:r w:rsidR="00063F76">
        <w:t>M</w:t>
      </w:r>
      <w:r>
        <w:t xml:space="preserve">embers in proportion to the amount of margin that is held by </w:t>
      </w:r>
      <w:r w:rsidR="00180C7D">
        <w:t>JSE Clear</w:t>
      </w:r>
      <w:r>
        <w:t xml:space="preserve">. These costs may be passed on to their trading members and clients at the </w:t>
      </w:r>
      <w:r w:rsidR="00C90FD0">
        <w:t>C</w:t>
      </w:r>
      <w:r>
        <w:t xml:space="preserve">learing </w:t>
      </w:r>
      <w:r w:rsidR="00C90FD0">
        <w:t>M</w:t>
      </w:r>
      <w:r>
        <w:t>ember’s discretion.</w:t>
      </w:r>
    </w:p>
    <w:p w14:paraId="1CFD5E12" w14:textId="77777777" w:rsidR="004E1DEA" w:rsidRDefault="004E1DEA" w:rsidP="004E1DEA">
      <w:pPr>
        <w:ind w:left="1080"/>
      </w:pPr>
    </w:p>
    <w:p w14:paraId="3F0E9BE6" w14:textId="6B65290B" w:rsidR="004E1DEA" w:rsidRDefault="004E1DEA" w:rsidP="004E1DEA">
      <w:pPr>
        <w:ind w:left="1080"/>
      </w:pPr>
      <w:proofErr w:type="gramStart"/>
      <w:r>
        <w:t>Any and all</w:t>
      </w:r>
      <w:proofErr w:type="gramEnd"/>
      <w:r>
        <w:t xml:space="preserve"> costs incurred in accessing the facilities and interest incurred </w:t>
      </w:r>
      <w:proofErr w:type="gramStart"/>
      <w:r>
        <w:t>on</w:t>
      </w:r>
      <w:proofErr w:type="gramEnd"/>
      <w:r>
        <w:t xml:space="preserve"> the drawn amount will be charged to the </w:t>
      </w:r>
      <w:r w:rsidR="00C90FD0">
        <w:t>Cl</w:t>
      </w:r>
      <w:r>
        <w:t xml:space="preserve">earing </w:t>
      </w:r>
      <w:r w:rsidR="00C90FD0">
        <w:t>M</w:t>
      </w:r>
      <w:r>
        <w:t>ember for whom the facilities have been applied.</w:t>
      </w:r>
    </w:p>
    <w:p w14:paraId="2E7FABB6" w14:textId="77777777" w:rsidR="004E1DEA" w:rsidRPr="009313AA" w:rsidRDefault="004E1DEA" w:rsidP="004E1DEA">
      <w:pPr>
        <w:pStyle w:val="Heading3"/>
        <w:numPr>
          <w:ilvl w:val="1"/>
          <w:numId w:val="2"/>
        </w:numPr>
        <w:rPr>
          <w:rFonts w:asciiTheme="minorHAnsi" w:hAnsiTheme="minorHAnsi"/>
          <w:color w:val="92D050"/>
        </w:rPr>
      </w:pPr>
      <w:bookmarkStart w:id="16" w:name="_Toc209521900"/>
      <w:r>
        <w:rPr>
          <w:rFonts w:asciiTheme="minorHAnsi" w:hAnsiTheme="minorHAnsi"/>
          <w:color w:val="92D050"/>
        </w:rPr>
        <w:t>FACILITY REPAYMENT</w:t>
      </w:r>
      <w:bookmarkEnd w:id="16"/>
    </w:p>
    <w:p w14:paraId="72EB20D5" w14:textId="613EDE0D" w:rsidR="004E1DEA" w:rsidRDefault="004E1DEA" w:rsidP="00302950">
      <w:pPr>
        <w:ind w:left="1080"/>
      </w:pPr>
      <w:r>
        <w:t xml:space="preserve">The liquidity facility will be repaid as soon as funds become available after the issue has been resolved or as soon as positions are closed out. All proceeds from positions and the release of margin will first be used to </w:t>
      </w:r>
      <w:proofErr w:type="gramStart"/>
      <w:r>
        <w:t>set-off</w:t>
      </w:r>
      <w:proofErr w:type="gramEnd"/>
      <w:r>
        <w:t xml:space="preserve"> debt to </w:t>
      </w:r>
      <w:r w:rsidR="00180C7D">
        <w:t xml:space="preserve">JSE Clear </w:t>
      </w:r>
      <w:r>
        <w:t>as per the Rules</w:t>
      </w:r>
      <w:r w:rsidR="00A157DB">
        <w:t>,</w:t>
      </w:r>
      <w:r>
        <w:t xml:space="preserve"> and thereafter, to the extent there are funds remaining, </w:t>
      </w:r>
      <w:proofErr w:type="gramStart"/>
      <w:r>
        <w:t>be</w:t>
      </w:r>
      <w:proofErr w:type="gramEnd"/>
      <w:r>
        <w:t xml:space="preserve"> paid back to the market participant concerned. </w:t>
      </w:r>
    </w:p>
    <w:p w14:paraId="3690B1C9" w14:textId="7520731D" w:rsidR="009104E0" w:rsidRPr="0013146E" w:rsidRDefault="00234E83" w:rsidP="0013146E">
      <w:pPr>
        <w:pStyle w:val="Level3"/>
        <w:tabs>
          <w:tab w:val="clear" w:pos="2268"/>
        </w:tabs>
        <w:spacing w:before="0" w:after="120" w:line="240" w:lineRule="auto"/>
        <w:ind w:left="1440" w:hanging="22"/>
        <w:rPr>
          <w:rFonts w:asciiTheme="minorHAnsi" w:eastAsiaTheme="majorEastAsia" w:hAnsiTheme="minorHAnsi"/>
          <w:sz w:val="20"/>
        </w:rPr>
      </w:pPr>
      <w:r w:rsidRPr="00395394">
        <w:rPr>
          <w:rFonts w:asciiTheme="minorHAnsi" w:hAnsiTheme="minorHAnsi"/>
          <w:sz w:val="20"/>
        </w:rPr>
        <w:footnoteReference w:customMarkFollows="1" w:id="2"/>
        <w:t xml:space="preserve">  </w:t>
      </w:r>
      <w:r w:rsidRPr="00395394">
        <w:rPr>
          <w:rStyle w:val="FootnoteReference"/>
          <w:rFonts w:asciiTheme="minorHAnsi" w:eastAsiaTheme="majorEastAsia" w:hAnsiTheme="minorHAnsi"/>
          <w:sz w:val="20"/>
        </w:rPr>
        <w:footnoteReference w:customMarkFollows="1" w:id="3"/>
        <w:t> </w:t>
      </w:r>
      <w:bookmarkStart w:id="17" w:name="_Toc54723834"/>
      <w:bookmarkEnd w:id="17"/>
    </w:p>
    <w:p w14:paraId="10D9BD84" w14:textId="77777777" w:rsidR="009104E0" w:rsidRPr="009104E0" w:rsidRDefault="009104E0" w:rsidP="794B2B99">
      <w:pPr>
        <w:pStyle w:val="ListParagraph"/>
        <w:keepNext/>
        <w:keepLines/>
        <w:numPr>
          <w:ilvl w:val="0"/>
          <w:numId w:val="13"/>
        </w:numPr>
        <w:ind w:left="709"/>
        <w:contextualSpacing w:val="0"/>
        <w:jc w:val="left"/>
        <w:outlineLvl w:val="1"/>
        <w:rPr>
          <w:rFonts w:asciiTheme="minorHAnsi" w:hAnsiTheme="minorHAnsi"/>
          <w:b/>
          <w:bCs/>
          <w:vanish/>
          <w:color w:val="auto"/>
        </w:rPr>
      </w:pPr>
      <w:bookmarkStart w:id="18" w:name="_Toc54723835"/>
      <w:bookmarkStart w:id="19" w:name="_Toc106953558"/>
      <w:bookmarkStart w:id="20" w:name="_Toc208917150"/>
      <w:bookmarkStart w:id="21" w:name="_Toc209521901"/>
      <w:bookmarkEnd w:id="18"/>
      <w:bookmarkEnd w:id="19"/>
      <w:bookmarkEnd w:id="20"/>
      <w:bookmarkEnd w:id="21"/>
    </w:p>
    <w:p w14:paraId="553C9431" w14:textId="007F6B97" w:rsidR="00234E83" w:rsidRPr="0013146E" w:rsidRDefault="00234E83" w:rsidP="0013146E">
      <w:pPr>
        <w:pStyle w:val="ListParagraph"/>
        <w:keepNext/>
        <w:keepLines/>
        <w:ind w:left="709"/>
        <w:contextualSpacing w:val="0"/>
        <w:jc w:val="left"/>
        <w:outlineLvl w:val="1"/>
        <w:rPr>
          <w:rFonts w:asciiTheme="minorHAnsi" w:hAnsiTheme="minorHAnsi"/>
          <w:szCs w:val="20"/>
        </w:rPr>
      </w:pPr>
    </w:p>
    <w:p w14:paraId="55BDBEEA" w14:textId="77777777" w:rsidR="00137F21" w:rsidRPr="007D5090" w:rsidRDefault="00137F21" w:rsidP="00137F21">
      <w:pPr>
        <w:pStyle w:val="Heading2"/>
        <w:numPr>
          <w:ilvl w:val="0"/>
          <w:numId w:val="13"/>
        </w:numPr>
        <w:ind w:left="709"/>
        <w:rPr>
          <w:rFonts w:asciiTheme="minorHAnsi" w:hAnsiTheme="minorHAnsi"/>
          <w:sz w:val="20"/>
          <w:szCs w:val="20"/>
        </w:rPr>
      </w:pPr>
      <w:bookmarkStart w:id="22" w:name="_Toc209521903"/>
      <w:r w:rsidRPr="794B2B99">
        <w:rPr>
          <w:rFonts w:asciiTheme="minorHAnsi" w:hAnsiTheme="minorHAnsi"/>
          <w:sz w:val="20"/>
          <w:szCs w:val="20"/>
        </w:rPr>
        <w:t>ROLES AND RESPONSIBILITIES</w:t>
      </w:r>
      <w:bookmarkEnd w:id="22"/>
    </w:p>
    <w:p w14:paraId="47DFAC6C" w14:textId="77777777" w:rsidR="00137F21" w:rsidRPr="00AF74F0" w:rsidRDefault="00137F21" w:rsidP="00AF74F0"/>
    <w:p w14:paraId="100DECE0" w14:textId="22E47FBD" w:rsidR="004E1DEA" w:rsidRDefault="004E1DEA" w:rsidP="00302950">
      <w:pPr>
        <w:ind w:left="709"/>
      </w:pPr>
      <w:r>
        <w:t xml:space="preserve">The JSE </w:t>
      </w:r>
      <w:r w:rsidR="00013099">
        <w:t xml:space="preserve">Clear </w:t>
      </w:r>
      <w:r>
        <w:t xml:space="preserve">Board delegates authority to the JSE </w:t>
      </w:r>
      <w:r w:rsidR="00013099">
        <w:t xml:space="preserve">Clear </w:t>
      </w:r>
      <w:r>
        <w:t>Ex</w:t>
      </w:r>
      <w:r w:rsidR="00E95561">
        <w:t>ecutive Committee (</w:t>
      </w:r>
      <w:r w:rsidR="00063F76">
        <w:t>Exco)</w:t>
      </w:r>
      <w:r>
        <w:t xml:space="preserve"> for </w:t>
      </w:r>
      <w:proofErr w:type="gramStart"/>
      <w:r>
        <w:t>draw-down</w:t>
      </w:r>
      <w:proofErr w:type="gramEnd"/>
      <w:r>
        <w:t xml:space="preserve"> </w:t>
      </w:r>
      <w:proofErr w:type="gramStart"/>
      <w:r>
        <w:t>of</w:t>
      </w:r>
      <w:proofErr w:type="gramEnd"/>
      <w:r>
        <w:t xml:space="preserve"> any facilities that will place an ultimate obligation on the balance sheet or income statement of the JSE</w:t>
      </w:r>
      <w:r w:rsidR="00013099">
        <w:t xml:space="preserve"> Clear</w:t>
      </w:r>
      <w:r>
        <w:t xml:space="preserve">. </w:t>
      </w:r>
    </w:p>
    <w:p w14:paraId="01451563" w14:textId="77777777" w:rsidR="004E1DEA" w:rsidRDefault="004E1DEA" w:rsidP="0054139F">
      <w:pPr>
        <w:ind w:left="709"/>
      </w:pPr>
    </w:p>
    <w:p w14:paraId="5252196E" w14:textId="43D97077" w:rsidR="004E1DEA" w:rsidRDefault="004E1DEA" w:rsidP="00302950">
      <w:pPr>
        <w:ind w:left="709"/>
      </w:pPr>
      <w:r>
        <w:t xml:space="preserve">The </w:t>
      </w:r>
      <w:r w:rsidR="00302950">
        <w:t>B</w:t>
      </w:r>
      <w:r>
        <w:t xml:space="preserve">oard will delegate authority to execute a borrowing arrangement and draw down thereupon to the JSE </w:t>
      </w:r>
      <w:r w:rsidR="00013099">
        <w:t xml:space="preserve">Clear </w:t>
      </w:r>
      <w:r>
        <w:t xml:space="preserve">Exco. </w:t>
      </w:r>
    </w:p>
    <w:p w14:paraId="32A68015" w14:textId="77777777" w:rsidR="004E1DEA" w:rsidRDefault="004E1DEA" w:rsidP="0054139F">
      <w:pPr>
        <w:ind w:left="709"/>
      </w:pPr>
    </w:p>
    <w:p w14:paraId="388C72E1" w14:textId="46A4EB2E" w:rsidR="004E1DEA" w:rsidRDefault="004E1DEA" w:rsidP="00302950">
      <w:pPr>
        <w:ind w:left="709"/>
      </w:pPr>
      <w:r>
        <w:t xml:space="preserve">The JSE </w:t>
      </w:r>
      <w:r w:rsidR="00013099">
        <w:t xml:space="preserve">Clear </w:t>
      </w:r>
      <w:r>
        <w:t xml:space="preserve">Exco approves all facility agreements with the liquidity providers.  </w:t>
      </w:r>
      <w:r w:rsidR="001E0DEC" w:rsidRPr="001E0DEC">
        <w:t xml:space="preserve">In line with the JSE Clear risk appetite, should JSE Clear’s potential liquidity requirement exceed its available liquid resources, this </w:t>
      </w:r>
      <w:r w:rsidR="00407F28">
        <w:t xml:space="preserve">must </w:t>
      </w:r>
      <w:r w:rsidR="001E0DEC" w:rsidRPr="001E0DEC">
        <w:t xml:space="preserve">be escalated to </w:t>
      </w:r>
      <w:r w:rsidR="00403BD4">
        <w:t xml:space="preserve">the </w:t>
      </w:r>
      <w:r w:rsidR="001E0DEC" w:rsidRPr="001E0DEC">
        <w:t>JSE</w:t>
      </w:r>
      <w:r w:rsidR="00013099">
        <w:t xml:space="preserve"> Clear</w:t>
      </w:r>
      <w:r w:rsidR="001E0DEC" w:rsidRPr="001E0DEC">
        <w:t xml:space="preserve"> Exco and JSE Clear Risk Committee.</w:t>
      </w:r>
      <w:r w:rsidR="004F1C46">
        <w:t xml:space="preserve">  </w:t>
      </w:r>
      <w:r w:rsidR="00407F28">
        <w:t xml:space="preserve">Refer to the JSE Clear Stress Testing Methodology </w:t>
      </w:r>
      <w:r w:rsidR="00FA196F">
        <w:t>for details on escalation thresholds</w:t>
      </w:r>
      <w:r w:rsidR="00403BD4">
        <w:t xml:space="preserve"> and actions, including early warning escalations.</w:t>
      </w:r>
    </w:p>
    <w:p w14:paraId="66E1C45B" w14:textId="77777777" w:rsidR="007C4204" w:rsidRDefault="007C4204" w:rsidP="00302950">
      <w:pPr>
        <w:ind w:left="709"/>
      </w:pPr>
    </w:p>
    <w:p w14:paraId="20EE2F55" w14:textId="77777777" w:rsidR="00CB7098" w:rsidRDefault="00CB7098" w:rsidP="008F6A33"/>
    <w:p w14:paraId="0A92BC77" w14:textId="58829E82" w:rsidR="00552997" w:rsidRPr="007465FF" w:rsidRDefault="00552997" w:rsidP="794B2B99">
      <w:pPr>
        <w:pStyle w:val="Heading2"/>
        <w:numPr>
          <w:ilvl w:val="0"/>
          <w:numId w:val="13"/>
        </w:numPr>
        <w:ind w:left="709"/>
        <w:rPr>
          <w:rFonts w:asciiTheme="minorHAnsi" w:hAnsiTheme="minorHAnsi"/>
          <w:sz w:val="20"/>
          <w:szCs w:val="20"/>
        </w:rPr>
      </w:pPr>
      <w:bookmarkStart w:id="23" w:name="_Toc492636020"/>
      <w:bookmarkStart w:id="24" w:name="_Toc492636021"/>
      <w:bookmarkStart w:id="25" w:name="_Toc492636022"/>
      <w:bookmarkStart w:id="26" w:name="_Toc492636023"/>
      <w:bookmarkStart w:id="27" w:name="_Toc492636024"/>
      <w:bookmarkStart w:id="28" w:name="_Toc492636025"/>
      <w:bookmarkStart w:id="29" w:name="_Toc492636026"/>
      <w:bookmarkStart w:id="30" w:name="_Toc492636027"/>
      <w:bookmarkStart w:id="31" w:name="_Toc209521904"/>
      <w:bookmarkEnd w:id="5"/>
      <w:bookmarkEnd w:id="6"/>
      <w:bookmarkEnd w:id="23"/>
      <w:bookmarkEnd w:id="24"/>
      <w:bookmarkEnd w:id="25"/>
      <w:bookmarkEnd w:id="26"/>
      <w:bookmarkEnd w:id="27"/>
      <w:bookmarkEnd w:id="28"/>
      <w:bookmarkEnd w:id="29"/>
      <w:bookmarkEnd w:id="30"/>
      <w:r w:rsidRPr="794B2B99">
        <w:rPr>
          <w:rFonts w:asciiTheme="minorHAnsi" w:hAnsiTheme="minorHAnsi"/>
          <w:sz w:val="20"/>
          <w:szCs w:val="20"/>
        </w:rPr>
        <w:t>POLICY GOVERNANCE</w:t>
      </w:r>
      <w:bookmarkEnd w:id="31"/>
    </w:p>
    <w:p w14:paraId="2C70834A" w14:textId="6145AF35" w:rsidR="00B92DE2" w:rsidRDefault="00552997" w:rsidP="00B92DE2">
      <w:pPr>
        <w:ind w:left="720"/>
      </w:pPr>
      <w:r w:rsidRPr="005E54A9">
        <w:rPr>
          <w:szCs w:val="20"/>
        </w:rPr>
        <w:t xml:space="preserve">This policy is owned by the </w:t>
      </w:r>
      <w:r w:rsidR="00180C7D">
        <w:t>JSE Clear</w:t>
      </w:r>
      <w:r w:rsidR="004E7B57">
        <w:t xml:space="preserve"> </w:t>
      </w:r>
      <w:r w:rsidR="00BF5010">
        <w:t>Chief Risk Officer</w:t>
      </w:r>
      <w:r w:rsidR="004E7B57">
        <w:t xml:space="preserve"> </w:t>
      </w:r>
      <w:r w:rsidR="00B561C2">
        <w:rPr>
          <w:szCs w:val="20"/>
        </w:rPr>
        <w:t xml:space="preserve">and </w:t>
      </w:r>
      <w:r w:rsidR="00B561C2" w:rsidRPr="00890215">
        <w:t xml:space="preserve">will be reviewed </w:t>
      </w:r>
      <w:r w:rsidR="0035218F">
        <w:t>annually</w:t>
      </w:r>
      <w:r w:rsidR="00B561C2" w:rsidRPr="00890215">
        <w:t xml:space="preserve"> or when there are any material changes to </w:t>
      </w:r>
      <w:r w:rsidR="00180C7D">
        <w:t xml:space="preserve">JSE Clear’s </w:t>
      </w:r>
      <w:r w:rsidR="00B561C2" w:rsidRPr="00890215">
        <w:t>risk profile, methodologies or processes</w:t>
      </w:r>
      <w:r w:rsidRPr="00890215">
        <w:t xml:space="preserve">. </w:t>
      </w:r>
    </w:p>
    <w:p w14:paraId="23F23C5C" w14:textId="77777777" w:rsidR="00B92DE2" w:rsidRPr="001979CB" w:rsidRDefault="00B92DE2" w:rsidP="00B92DE2">
      <w:pPr>
        <w:ind w:left="720"/>
        <w:rPr>
          <w:color w:val="auto"/>
          <w:szCs w:val="20"/>
        </w:rPr>
      </w:pPr>
    </w:p>
    <w:p w14:paraId="69138209" w14:textId="607D72EF" w:rsidR="00B92DE2" w:rsidRDefault="00B92DE2" w:rsidP="00B92DE2">
      <w:pPr>
        <w:ind w:left="720"/>
        <w:rPr>
          <w:lang w:val="en-ZA"/>
        </w:rPr>
      </w:pPr>
      <w:r w:rsidRPr="001979CB">
        <w:rPr>
          <w:color w:val="auto"/>
          <w:szCs w:val="20"/>
        </w:rPr>
        <w:t xml:space="preserve">The </w:t>
      </w:r>
      <w:r w:rsidR="00180C7D">
        <w:t xml:space="preserve">JSE Clear </w:t>
      </w:r>
      <w:r w:rsidRPr="001979CB">
        <w:rPr>
          <w:color w:val="auto"/>
          <w:lang w:val="en-ZA"/>
        </w:rPr>
        <w:t xml:space="preserve">Risk Committee will recommend </w:t>
      </w:r>
      <w:r>
        <w:rPr>
          <w:color w:val="auto"/>
          <w:lang w:val="en-ZA"/>
        </w:rPr>
        <w:t xml:space="preserve">the initial </w:t>
      </w:r>
      <w:r w:rsidRPr="001979CB">
        <w:rPr>
          <w:color w:val="auto"/>
          <w:lang w:val="en-ZA"/>
        </w:rPr>
        <w:t xml:space="preserve">approval </w:t>
      </w:r>
      <w:r>
        <w:rPr>
          <w:color w:val="auto"/>
          <w:lang w:val="en-ZA"/>
        </w:rPr>
        <w:t xml:space="preserve">of this policy </w:t>
      </w:r>
      <w:r w:rsidRPr="001979CB">
        <w:rPr>
          <w:color w:val="auto"/>
          <w:lang w:val="en-ZA"/>
        </w:rPr>
        <w:t xml:space="preserve">by the </w:t>
      </w:r>
      <w:r w:rsidR="00180C7D">
        <w:t xml:space="preserve">JSE Clear </w:t>
      </w:r>
      <w:r>
        <w:rPr>
          <w:lang w:val="en-ZA"/>
        </w:rPr>
        <w:t>B</w:t>
      </w:r>
      <w:r w:rsidRPr="001979CB">
        <w:rPr>
          <w:lang w:val="en-ZA"/>
        </w:rPr>
        <w:t>oard</w:t>
      </w:r>
      <w:r>
        <w:rPr>
          <w:lang w:val="en-ZA"/>
        </w:rPr>
        <w:t xml:space="preserve"> or when there are material changes</w:t>
      </w:r>
      <w:r w:rsidRPr="001979CB">
        <w:rPr>
          <w:lang w:val="en-ZA"/>
        </w:rPr>
        <w:t>.</w:t>
      </w:r>
      <w:r>
        <w:rPr>
          <w:lang w:val="en-ZA"/>
        </w:rPr>
        <w:t xml:space="preserve"> The regular annual review of this policy will be approved by the JSE Clear Risk Committee. </w:t>
      </w:r>
    </w:p>
    <w:p w14:paraId="320427CB" w14:textId="77777777" w:rsidR="0013146E" w:rsidRDefault="0013146E" w:rsidP="00B92DE2">
      <w:pPr>
        <w:ind w:left="720"/>
        <w:rPr>
          <w:lang w:val="en-ZA"/>
        </w:rPr>
      </w:pPr>
    </w:p>
    <w:p w14:paraId="27A72774" w14:textId="77777777" w:rsidR="0013146E" w:rsidRPr="001979CB" w:rsidRDefault="0013146E" w:rsidP="00B92DE2">
      <w:pPr>
        <w:ind w:left="720"/>
        <w:rPr>
          <w:lang w:val="en-ZA"/>
        </w:rPr>
      </w:pPr>
    </w:p>
    <w:p w14:paraId="5CC2D0D8" w14:textId="19CB23EE" w:rsidR="00CD759A" w:rsidRDefault="009104E0" w:rsidP="00CD759A">
      <w:pPr>
        <w:pStyle w:val="Heading2"/>
        <w:rPr>
          <w:rFonts w:asciiTheme="minorHAnsi" w:hAnsiTheme="minorHAnsi"/>
          <w:sz w:val="20"/>
          <w:szCs w:val="20"/>
        </w:rPr>
      </w:pPr>
      <w:bookmarkStart w:id="32" w:name="_Toc209521905"/>
      <w:r w:rsidRPr="009E17E8">
        <w:rPr>
          <w:rFonts w:asciiTheme="minorHAnsi" w:hAnsiTheme="minorHAnsi"/>
          <w:sz w:val="20"/>
          <w:szCs w:val="20"/>
        </w:rPr>
        <w:t>APPENDIX A – GOVERNANCE COMMITTEE ACTIONS</w:t>
      </w:r>
      <w:bookmarkEnd w:id="32"/>
      <w:r w:rsidRPr="009E17E8">
        <w:rPr>
          <w:rFonts w:asciiTheme="minorHAnsi" w:hAnsiTheme="minorHAnsi"/>
          <w:sz w:val="20"/>
          <w:szCs w:val="20"/>
        </w:rPr>
        <w:t xml:space="preserve"> </w:t>
      </w:r>
    </w:p>
    <w:p w14:paraId="38D2DABE" w14:textId="77777777" w:rsidR="00CD759A" w:rsidRDefault="00CD759A" w:rsidP="00CD759A"/>
    <w:tbl>
      <w:tblPr>
        <w:tblStyle w:val="TableGrid"/>
        <w:tblW w:w="0" w:type="auto"/>
        <w:tblLook w:val="04A0" w:firstRow="1" w:lastRow="0" w:firstColumn="1" w:lastColumn="0" w:noHBand="0" w:noVBand="1"/>
      </w:tblPr>
      <w:tblGrid>
        <w:gridCol w:w="480"/>
        <w:gridCol w:w="465"/>
        <w:gridCol w:w="5207"/>
        <w:gridCol w:w="1261"/>
        <w:gridCol w:w="1937"/>
      </w:tblGrid>
      <w:tr w:rsidR="00CD759A" w:rsidRPr="00A63F25" w14:paraId="46246DF5" w14:textId="77777777" w:rsidTr="00931FE3">
        <w:trPr>
          <w:trHeight w:val="792"/>
        </w:trPr>
        <w:tc>
          <w:tcPr>
            <w:tcW w:w="480" w:type="dxa"/>
            <w:shd w:val="clear" w:color="auto" w:fill="EAF1DD" w:themeFill="accent3" w:themeFillTint="33"/>
            <w:vAlign w:val="center"/>
          </w:tcPr>
          <w:p w14:paraId="0C1E708F" w14:textId="77777777" w:rsidR="00CD759A" w:rsidRPr="00A63F25" w:rsidRDefault="00CD759A" w:rsidP="00931FE3">
            <w:pPr>
              <w:jc w:val="center"/>
              <w:rPr>
                <w:rFonts w:asciiTheme="minorHAnsi" w:hAnsiTheme="minorHAnsi" w:cstheme="minorHAnsi"/>
                <w:b/>
                <w:sz w:val="18"/>
                <w:lang w:val="en-ZA"/>
              </w:rPr>
            </w:pPr>
            <w:r w:rsidRPr="00A63F25">
              <w:rPr>
                <w:rFonts w:asciiTheme="minorHAnsi" w:hAnsiTheme="minorHAnsi" w:cstheme="minorHAnsi"/>
                <w:b/>
                <w:sz w:val="18"/>
              </w:rPr>
              <w:t>No.</w:t>
            </w:r>
          </w:p>
        </w:tc>
        <w:tc>
          <w:tcPr>
            <w:tcW w:w="465" w:type="dxa"/>
            <w:shd w:val="clear" w:color="auto" w:fill="EAF1DD" w:themeFill="accent3" w:themeFillTint="33"/>
            <w:vAlign w:val="center"/>
          </w:tcPr>
          <w:p w14:paraId="06D0E702" w14:textId="77777777" w:rsidR="00CD759A" w:rsidRPr="00A63F25" w:rsidRDefault="00CD759A" w:rsidP="00931FE3">
            <w:pPr>
              <w:jc w:val="center"/>
              <w:rPr>
                <w:rFonts w:asciiTheme="minorHAnsi" w:hAnsiTheme="minorHAnsi" w:cstheme="minorHAnsi"/>
                <w:b/>
                <w:sz w:val="18"/>
              </w:rPr>
            </w:pPr>
            <w:r>
              <w:rPr>
                <w:rFonts w:asciiTheme="minorHAnsi" w:hAnsiTheme="minorHAnsi" w:cstheme="minorHAnsi"/>
                <w:b/>
                <w:sz w:val="18"/>
              </w:rPr>
              <w:t>Ref</w:t>
            </w:r>
          </w:p>
        </w:tc>
        <w:tc>
          <w:tcPr>
            <w:tcW w:w="5207" w:type="dxa"/>
            <w:shd w:val="clear" w:color="auto" w:fill="EAF1DD" w:themeFill="accent3" w:themeFillTint="33"/>
            <w:vAlign w:val="center"/>
          </w:tcPr>
          <w:p w14:paraId="173AEF07" w14:textId="77777777" w:rsidR="00CD759A" w:rsidRPr="00A63F25" w:rsidRDefault="00CD759A" w:rsidP="00931FE3">
            <w:pPr>
              <w:jc w:val="center"/>
              <w:rPr>
                <w:rFonts w:asciiTheme="minorHAnsi" w:hAnsiTheme="minorHAnsi" w:cstheme="minorHAnsi"/>
                <w:b/>
                <w:sz w:val="18"/>
                <w:lang w:val="en-ZA"/>
              </w:rPr>
            </w:pPr>
            <w:r w:rsidRPr="00A63F25">
              <w:rPr>
                <w:rFonts w:asciiTheme="minorHAnsi" w:hAnsiTheme="minorHAnsi" w:cstheme="minorHAnsi"/>
                <w:b/>
                <w:sz w:val="18"/>
                <w:lang w:val="en-ZA"/>
              </w:rPr>
              <w:t>Action Item</w:t>
            </w:r>
          </w:p>
        </w:tc>
        <w:tc>
          <w:tcPr>
            <w:tcW w:w="1261" w:type="dxa"/>
            <w:shd w:val="clear" w:color="auto" w:fill="EAF1DD" w:themeFill="accent3" w:themeFillTint="33"/>
            <w:vAlign w:val="center"/>
          </w:tcPr>
          <w:p w14:paraId="4AF094F7" w14:textId="77777777" w:rsidR="00CD759A" w:rsidRPr="00A63F25" w:rsidRDefault="00CD759A" w:rsidP="00931FE3">
            <w:pPr>
              <w:jc w:val="center"/>
              <w:rPr>
                <w:rFonts w:asciiTheme="minorHAnsi" w:hAnsiTheme="minorHAnsi" w:cstheme="minorHAnsi"/>
                <w:b/>
                <w:sz w:val="18"/>
              </w:rPr>
            </w:pPr>
            <w:r>
              <w:rPr>
                <w:rFonts w:asciiTheme="minorHAnsi" w:hAnsiTheme="minorHAnsi" w:cstheme="minorHAnsi"/>
                <w:b/>
                <w:sz w:val="18"/>
              </w:rPr>
              <w:t>Frequency</w:t>
            </w:r>
          </w:p>
        </w:tc>
        <w:tc>
          <w:tcPr>
            <w:tcW w:w="1937" w:type="dxa"/>
            <w:shd w:val="clear" w:color="auto" w:fill="EAF1DD" w:themeFill="accent3" w:themeFillTint="33"/>
            <w:vAlign w:val="center"/>
          </w:tcPr>
          <w:p w14:paraId="0A8FB521" w14:textId="77777777" w:rsidR="00CD759A" w:rsidRPr="00A63F25" w:rsidRDefault="00CD759A" w:rsidP="00931FE3">
            <w:pPr>
              <w:jc w:val="center"/>
              <w:rPr>
                <w:rFonts w:asciiTheme="minorHAnsi" w:hAnsiTheme="minorHAnsi" w:cstheme="minorHAnsi"/>
                <w:b/>
                <w:sz w:val="18"/>
                <w:lang w:val="en-ZA"/>
              </w:rPr>
            </w:pPr>
            <w:r w:rsidRPr="00A63F25">
              <w:rPr>
                <w:rFonts w:asciiTheme="minorHAnsi" w:hAnsiTheme="minorHAnsi" w:cstheme="minorHAnsi"/>
                <w:b/>
                <w:sz w:val="18"/>
                <w:lang w:val="en-ZA"/>
              </w:rPr>
              <w:t>Applicable Governance Forum</w:t>
            </w:r>
          </w:p>
        </w:tc>
      </w:tr>
      <w:tr w:rsidR="00CD759A" w:rsidRPr="00EE18E3" w14:paraId="1672A3F5" w14:textId="77777777" w:rsidTr="00931FE3">
        <w:trPr>
          <w:trHeight w:val="267"/>
        </w:trPr>
        <w:tc>
          <w:tcPr>
            <w:tcW w:w="480" w:type="dxa"/>
            <w:shd w:val="clear" w:color="auto" w:fill="F2F2F2" w:themeFill="background1" w:themeFillShade="F2"/>
          </w:tcPr>
          <w:p w14:paraId="7E9B27F7" w14:textId="77777777" w:rsidR="00CD759A" w:rsidRPr="00A63F25" w:rsidRDefault="00CD759A" w:rsidP="00CD759A">
            <w:pPr>
              <w:pStyle w:val="ListParagraph"/>
              <w:numPr>
                <w:ilvl w:val="0"/>
                <w:numId w:val="31"/>
              </w:numPr>
              <w:spacing w:line="240" w:lineRule="auto"/>
              <w:jc w:val="center"/>
              <w:rPr>
                <w:rFonts w:asciiTheme="minorHAnsi" w:hAnsiTheme="minorHAnsi" w:cstheme="minorHAnsi"/>
                <w:sz w:val="18"/>
              </w:rPr>
            </w:pPr>
          </w:p>
        </w:tc>
        <w:tc>
          <w:tcPr>
            <w:tcW w:w="465" w:type="dxa"/>
          </w:tcPr>
          <w:p w14:paraId="21593860" w14:textId="4BF66C0A" w:rsidR="00CD759A" w:rsidRPr="00A63F25" w:rsidRDefault="00C3125C" w:rsidP="00931FE3">
            <w:pPr>
              <w:jc w:val="center"/>
              <w:rPr>
                <w:rFonts w:asciiTheme="minorHAnsi" w:hAnsiTheme="minorHAnsi" w:cstheme="minorHAnsi"/>
                <w:sz w:val="18"/>
              </w:rPr>
            </w:pPr>
            <w:r>
              <w:rPr>
                <w:rFonts w:asciiTheme="minorHAnsi" w:hAnsiTheme="minorHAnsi" w:cstheme="minorHAnsi"/>
                <w:sz w:val="18"/>
              </w:rPr>
              <w:t>5</w:t>
            </w:r>
          </w:p>
        </w:tc>
        <w:tc>
          <w:tcPr>
            <w:tcW w:w="5207" w:type="dxa"/>
          </w:tcPr>
          <w:p w14:paraId="76D48846" w14:textId="77777777" w:rsidR="00CD759A" w:rsidRPr="00DC2FC0" w:rsidRDefault="00CD759A" w:rsidP="00DC2FC0">
            <w:pPr>
              <w:jc w:val="left"/>
              <w:rPr>
                <w:szCs w:val="20"/>
              </w:rPr>
            </w:pPr>
            <w:r w:rsidRPr="00DC2FC0">
              <w:rPr>
                <w:szCs w:val="20"/>
              </w:rPr>
              <w:t xml:space="preserve">The JSE Clear Board delegates authority to the JSE Clear Exco for </w:t>
            </w:r>
            <w:proofErr w:type="gramStart"/>
            <w:r w:rsidRPr="00DC2FC0">
              <w:rPr>
                <w:szCs w:val="20"/>
              </w:rPr>
              <w:t>draw-down</w:t>
            </w:r>
            <w:proofErr w:type="gramEnd"/>
            <w:r w:rsidRPr="00DC2FC0">
              <w:rPr>
                <w:szCs w:val="20"/>
              </w:rPr>
              <w:t xml:space="preserve"> </w:t>
            </w:r>
            <w:proofErr w:type="gramStart"/>
            <w:r w:rsidRPr="00DC2FC0">
              <w:rPr>
                <w:szCs w:val="20"/>
              </w:rPr>
              <w:t>of</w:t>
            </w:r>
            <w:proofErr w:type="gramEnd"/>
            <w:r w:rsidRPr="00DC2FC0">
              <w:rPr>
                <w:szCs w:val="20"/>
              </w:rPr>
              <w:t xml:space="preserve"> any facilities that will place an ultimate obligation on the balance sheet or income statement of the JSE Clear. </w:t>
            </w:r>
          </w:p>
          <w:p w14:paraId="527CD79F" w14:textId="77777777" w:rsidR="00CD759A" w:rsidRPr="00DC2FC0" w:rsidRDefault="00CD759A" w:rsidP="00DC2FC0">
            <w:pPr>
              <w:jc w:val="left"/>
              <w:rPr>
                <w:szCs w:val="20"/>
              </w:rPr>
            </w:pPr>
          </w:p>
          <w:p w14:paraId="1A68C1B6" w14:textId="77777777" w:rsidR="00CD759A" w:rsidRPr="00DC2FC0" w:rsidRDefault="00CD759A" w:rsidP="00DC2FC0">
            <w:pPr>
              <w:jc w:val="left"/>
              <w:rPr>
                <w:szCs w:val="20"/>
                <w:lang w:val="en-ZA"/>
              </w:rPr>
            </w:pPr>
            <w:r w:rsidRPr="00DC2FC0">
              <w:rPr>
                <w:szCs w:val="20"/>
              </w:rPr>
              <w:t xml:space="preserve">The board will delegate authority to execute a borrowing arrangement and draw down thereupon to the JSE Clear Exco. </w:t>
            </w:r>
          </w:p>
        </w:tc>
        <w:tc>
          <w:tcPr>
            <w:tcW w:w="1261" w:type="dxa"/>
          </w:tcPr>
          <w:p w14:paraId="3FDC1984" w14:textId="77777777" w:rsidR="00CD759A" w:rsidRPr="00DC2FC0" w:rsidRDefault="00CD759A" w:rsidP="00931FE3">
            <w:pPr>
              <w:jc w:val="center"/>
              <w:rPr>
                <w:rFonts w:asciiTheme="minorHAnsi" w:hAnsiTheme="minorHAnsi" w:cstheme="minorHAnsi"/>
                <w:szCs w:val="20"/>
              </w:rPr>
            </w:pPr>
            <w:r w:rsidRPr="00DC2FC0">
              <w:rPr>
                <w:rFonts w:asciiTheme="minorHAnsi" w:hAnsiTheme="minorHAnsi" w:cstheme="minorHAnsi"/>
                <w:szCs w:val="20"/>
              </w:rPr>
              <w:t>As required</w:t>
            </w:r>
          </w:p>
        </w:tc>
        <w:tc>
          <w:tcPr>
            <w:tcW w:w="1937" w:type="dxa"/>
          </w:tcPr>
          <w:p w14:paraId="79CBB1D8" w14:textId="77777777" w:rsidR="00CD759A" w:rsidRPr="00DC2FC0" w:rsidRDefault="00CD759A" w:rsidP="00CD759A">
            <w:pPr>
              <w:pStyle w:val="ListParagraph"/>
              <w:numPr>
                <w:ilvl w:val="0"/>
                <w:numId w:val="32"/>
              </w:numPr>
              <w:spacing w:line="240" w:lineRule="auto"/>
              <w:ind w:left="179" w:hanging="179"/>
              <w:jc w:val="left"/>
              <w:rPr>
                <w:rFonts w:asciiTheme="minorHAnsi" w:hAnsiTheme="minorHAnsi" w:cstheme="minorHAnsi"/>
                <w:szCs w:val="20"/>
              </w:rPr>
            </w:pPr>
            <w:r w:rsidRPr="00DC2FC0">
              <w:rPr>
                <w:rFonts w:asciiTheme="minorHAnsi" w:hAnsiTheme="minorHAnsi" w:cstheme="minorHAnsi"/>
                <w:szCs w:val="20"/>
              </w:rPr>
              <w:t xml:space="preserve">JSE Clear Board </w:t>
            </w:r>
          </w:p>
        </w:tc>
      </w:tr>
      <w:tr w:rsidR="00CD759A" w:rsidRPr="00EE18E3" w14:paraId="43843C22" w14:textId="77777777" w:rsidTr="00931FE3">
        <w:trPr>
          <w:trHeight w:val="267"/>
        </w:trPr>
        <w:tc>
          <w:tcPr>
            <w:tcW w:w="480" w:type="dxa"/>
            <w:shd w:val="clear" w:color="auto" w:fill="F2F2F2" w:themeFill="background1" w:themeFillShade="F2"/>
          </w:tcPr>
          <w:p w14:paraId="4708A47A" w14:textId="77777777" w:rsidR="00CD759A" w:rsidRPr="00A63F25" w:rsidRDefault="00CD759A" w:rsidP="00CD759A">
            <w:pPr>
              <w:pStyle w:val="ListParagraph"/>
              <w:numPr>
                <w:ilvl w:val="0"/>
                <w:numId w:val="31"/>
              </w:numPr>
              <w:spacing w:line="240" w:lineRule="auto"/>
              <w:jc w:val="center"/>
              <w:rPr>
                <w:rFonts w:asciiTheme="minorHAnsi" w:hAnsiTheme="minorHAnsi" w:cstheme="minorHAnsi"/>
                <w:sz w:val="18"/>
              </w:rPr>
            </w:pPr>
          </w:p>
        </w:tc>
        <w:tc>
          <w:tcPr>
            <w:tcW w:w="465" w:type="dxa"/>
          </w:tcPr>
          <w:p w14:paraId="319AB82F" w14:textId="479B92ED" w:rsidR="00CD759A" w:rsidRDefault="00C3125C" w:rsidP="00931FE3">
            <w:pPr>
              <w:jc w:val="center"/>
              <w:rPr>
                <w:rFonts w:cstheme="minorHAnsi"/>
                <w:sz w:val="18"/>
              </w:rPr>
            </w:pPr>
            <w:r>
              <w:rPr>
                <w:rFonts w:cstheme="minorHAnsi"/>
                <w:sz w:val="18"/>
              </w:rPr>
              <w:t>6</w:t>
            </w:r>
          </w:p>
        </w:tc>
        <w:tc>
          <w:tcPr>
            <w:tcW w:w="5207" w:type="dxa"/>
          </w:tcPr>
          <w:p w14:paraId="1798B114" w14:textId="29442D99" w:rsidR="00CD759A" w:rsidRPr="00DC2FC0" w:rsidRDefault="00CD759A" w:rsidP="00DC2FC0">
            <w:pPr>
              <w:jc w:val="left"/>
              <w:rPr>
                <w:rFonts w:cstheme="minorHAnsi"/>
                <w:szCs w:val="20"/>
              </w:rPr>
            </w:pPr>
            <w:r w:rsidRPr="00DC2FC0">
              <w:rPr>
                <w:color w:val="auto"/>
                <w:szCs w:val="20"/>
              </w:rPr>
              <w:t xml:space="preserve">The </w:t>
            </w:r>
            <w:r w:rsidR="00180C7D" w:rsidRPr="00DC2FC0">
              <w:rPr>
                <w:szCs w:val="20"/>
              </w:rPr>
              <w:t>JSE Clear</w:t>
            </w:r>
            <w:r w:rsidRPr="00DC2FC0">
              <w:rPr>
                <w:color w:val="auto"/>
                <w:szCs w:val="20"/>
                <w:lang w:val="en-ZA"/>
              </w:rPr>
              <w:t xml:space="preserve"> Risk Committee will recommend the initial approval of this policy by the </w:t>
            </w:r>
            <w:r w:rsidR="00180C7D" w:rsidRPr="00DC2FC0">
              <w:rPr>
                <w:szCs w:val="20"/>
              </w:rPr>
              <w:t xml:space="preserve">JSE Clear </w:t>
            </w:r>
            <w:r w:rsidRPr="00DC2FC0">
              <w:rPr>
                <w:szCs w:val="20"/>
                <w:lang w:val="en-ZA"/>
              </w:rPr>
              <w:t>Board or when there are material changes. The regular annual review of this policy will be approved by the JSE Clear Risk Committee.</w:t>
            </w:r>
          </w:p>
        </w:tc>
        <w:tc>
          <w:tcPr>
            <w:tcW w:w="1261" w:type="dxa"/>
          </w:tcPr>
          <w:p w14:paraId="57CE031D" w14:textId="77777777" w:rsidR="00CD759A" w:rsidRPr="00DC2FC0" w:rsidRDefault="00CD759A" w:rsidP="00931FE3">
            <w:pPr>
              <w:jc w:val="center"/>
              <w:rPr>
                <w:rFonts w:asciiTheme="minorHAnsi" w:hAnsiTheme="minorHAnsi" w:cstheme="minorHAnsi"/>
                <w:szCs w:val="20"/>
              </w:rPr>
            </w:pPr>
            <w:r w:rsidRPr="00DC2FC0">
              <w:rPr>
                <w:rFonts w:asciiTheme="minorHAnsi" w:hAnsiTheme="minorHAnsi" w:cstheme="minorHAnsi"/>
                <w:szCs w:val="20"/>
              </w:rPr>
              <w:t xml:space="preserve">Annual </w:t>
            </w:r>
          </w:p>
        </w:tc>
        <w:tc>
          <w:tcPr>
            <w:tcW w:w="1937" w:type="dxa"/>
          </w:tcPr>
          <w:p w14:paraId="155A47E1" w14:textId="77777777" w:rsidR="00CD759A" w:rsidRPr="00DC2FC0" w:rsidRDefault="00CD759A" w:rsidP="00CD759A">
            <w:pPr>
              <w:pStyle w:val="ListParagraph"/>
              <w:numPr>
                <w:ilvl w:val="0"/>
                <w:numId w:val="32"/>
              </w:numPr>
              <w:spacing w:line="240" w:lineRule="auto"/>
              <w:ind w:left="179" w:hanging="179"/>
              <w:jc w:val="left"/>
              <w:rPr>
                <w:rFonts w:asciiTheme="minorHAnsi" w:hAnsiTheme="minorHAnsi" w:cstheme="minorHAnsi"/>
                <w:szCs w:val="20"/>
              </w:rPr>
            </w:pPr>
            <w:r w:rsidRPr="00DC2FC0">
              <w:rPr>
                <w:rFonts w:asciiTheme="minorHAnsi" w:hAnsiTheme="minorHAnsi" w:cstheme="minorHAnsi"/>
                <w:szCs w:val="20"/>
              </w:rPr>
              <w:t xml:space="preserve">JSE Clear Risk Committee </w:t>
            </w:r>
          </w:p>
        </w:tc>
      </w:tr>
    </w:tbl>
    <w:p w14:paraId="4E1C33AE" w14:textId="77777777" w:rsidR="00CD759A" w:rsidRPr="00234E83" w:rsidRDefault="00CD759A" w:rsidP="0036218D">
      <w:pPr>
        <w:rPr>
          <w:rFonts w:cs="Arial"/>
        </w:rPr>
      </w:pPr>
    </w:p>
    <w:sectPr w:rsidR="00CD759A" w:rsidRPr="00234E83" w:rsidSect="00A6397B">
      <w:footerReference w:type="first" r:id="rId17"/>
      <w:pgSz w:w="11906" w:h="16838"/>
      <w:pgMar w:top="1418" w:right="1134" w:bottom="1418" w:left="1134" w:header="73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4FA18" w14:textId="77777777" w:rsidR="00736148" w:rsidRDefault="00736148" w:rsidP="0076126D">
      <w:pPr>
        <w:spacing w:line="240" w:lineRule="auto"/>
      </w:pPr>
      <w:r>
        <w:separator/>
      </w:r>
    </w:p>
  </w:endnote>
  <w:endnote w:type="continuationSeparator" w:id="0">
    <w:p w14:paraId="74549146" w14:textId="77777777" w:rsidR="00736148" w:rsidRDefault="00736148" w:rsidP="0076126D">
      <w:pPr>
        <w:spacing w:line="240" w:lineRule="auto"/>
      </w:pPr>
      <w:r>
        <w:continuationSeparator/>
      </w:r>
    </w:p>
  </w:endnote>
  <w:endnote w:type="continuationNotice" w:id="1">
    <w:p w14:paraId="6301E25B" w14:textId="77777777" w:rsidR="00736148" w:rsidRDefault="007361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6.1">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4F665" w14:textId="77777777" w:rsidR="0076018C" w:rsidRDefault="007601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583962782"/>
      <w:docPartObj>
        <w:docPartGallery w:val="Page Numbers (Bottom of Page)"/>
        <w:docPartUnique/>
      </w:docPartObj>
    </w:sdtPr>
    <w:sdtContent>
      <w:p w14:paraId="02FE121D" w14:textId="55372ADC" w:rsidR="009313AA" w:rsidRPr="00E3087E" w:rsidRDefault="00942C2C" w:rsidP="00E3087E">
        <w:pPr>
          <w:widowControl w:val="0"/>
          <w:autoSpaceDE w:val="0"/>
          <w:autoSpaceDN w:val="0"/>
          <w:adjustRightInd w:val="0"/>
          <w:spacing w:line="240" w:lineRule="auto"/>
          <w:rPr>
            <w:rFonts w:eastAsiaTheme="minorEastAsia" w:cs="Arial"/>
            <w:bCs/>
            <w:color w:val="262626" w:themeColor="text1" w:themeTint="D9"/>
            <w:sz w:val="14"/>
            <w:szCs w:val="14"/>
          </w:rPr>
        </w:pPr>
        <w:r>
          <w:rPr>
            <w:rFonts w:ascii="Times New Roman" w:eastAsia="Calibri" w:hAnsi="Times New Roman"/>
            <w:noProof/>
            <w:color w:val="auto"/>
            <w:sz w:val="24"/>
          </w:rPr>
          <mc:AlternateContent>
            <mc:Choice Requires="wps">
              <w:drawing>
                <wp:anchor distT="0" distB="0" distL="114300" distR="114300" simplePos="0" relativeHeight="251658245" behindDoc="0" locked="0" layoutInCell="1" allowOverlap="1" wp14:anchorId="50F39608" wp14:editId="294DBF26">
                  <wp:simplePos x="0" y="0"/>
                  <wp:positionH relativeFrom="margin">
                    <wp:align>right</wp:align>
                  </wp:positionH>
                  <wp:positionV relativeFrom="paragraph">
                    <wp:posOffset>-117764</wp:posOffset>
                  </wp:positionV>
                  <wp:extent cx="2071370" cy="276860"/>
                  <wp:effectExtent l="0" t="0" r="24130" b="27940"/>
                  <wp:wrapNone/>
                  <wp:docPr id="8" name="Text Box 8"/>
                  <wp:cNvGraphicFramePr/>
                  <a:graphic xmlns:a="http://schemas.openxmlformats.org/drawingml/2006/main">
                    <a:graphicData uri="http://schemas.microsoft.com/office/word/2010/wordprocessingShape">
                      <wps:wsp>
                        <wps:cNvSpPr txBox="1"/>
                        <wps:spPr>
                          <a:xfrm>
                            <a:off x="0" y="0"/>
                            <a:ext cx="2071370" cy="276860"/>
                          </a:xfrm>
                          <a:prstGeom prst="rect">
                            <a:avLst/>
                          </a:prstGeom>
                          <a:solidFill>
                            <a:schemeClr val="lt1"/>
                          </a:solidFill>
                          <a:ln w="6350">
                            <a:solidFill>
                              <a:prstClr val="black"/>
                            </a:solidFill>
                          </a:ln>
                        </wps:spPr>
                        <wps:txbx>
                          <w:txbxContent>
                            <w:p w14:paraId="2BCF9BFB" w14:textId="77777777" w:rsidR="00942C2C" w:rsidRDefault="00942C2C" w:rsidP="00942C2C">
                              <w:pPr>
                                <w:jc w:val="center"/>
                                <w:rPr>
                                  <w:i/>
                                  <w:color w:val="FF0000"/>
                                </w:rPr>
                              </w:pPr>
                              <w:r>
                                <w:rPr>
                                  <w:i/>
                                  <w:color w:val="FF0000"/>
                                </w:rPr>
                                <w:t>Confidential – not for distribution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0F39608" id="_x0000_t202" coordsize="21600,21600" o:spt="202" path="m,l,21600r21600,l21600,xe">
                  <v:stroke joinstyle="miter"/>
                  <v:path gradientshapeok="t" o:connecttype="rect"/>
                </v:shapetype>
                <v:shape id="Text Box 8" o:spid="_x0000_s1029" type="#_x0000_t202" style="position:absolute;left:0;text-align:left;margin-left:111.9pt;margin-top:-9.25pt;width:163.1pt;height:21.8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" fillcolor="white [3201]" strokeweight=".5pt">
                  <v:textbox>
                    <w:txbxContent>
                      <w:p w14:paraId="2BCF9BFB" w14:textId="77777777" w:rsidR="00942C2C" w:rsidRDefault="00942C2C" w:rsidP="00942C2C">
                        <w:pPr>
                          <w:jc w:val="center"/>
                          <w:rPr>
                            <w:i/>
                            <w:color w:val="FF0000"/>
                          </w:rPr>
                        </w:pPr>
                        <w:r>
                          <w:rPr>
                            <w:i/>
                            <w:color w:val="FF0000"/>
                          </w:rPr>
                          <w:t>Confidential – not for distribution</w:t>
                        </w:r>
                      </w:p>
                    </w:txbxContent>
                  </v:textbox>
                  <w10:wrap anchorx="margin"/>
                </v:shape>
              </w:pict>
            </mc:Fallback>
          </mc:AlternateContent>
        </w:r>
        <w:r w:rsidR="009313AA">
          <w:rPr>
            <w:rFonts w:cs="Arial"/>
            <w:bCs/>
            <w:sz w:val="14"/>
            <w:szCs w:val="14"/>
          </w:rPr>
          <w:t xml:space="preserve">Page </w:t>
        </w:r>
        <w:r w:rsidR="009313AA">
          <w:rPr>
            <w:rFonts w:cs="Arial"/>
            <w:bCs/>
            <w:sz w:val="14"/>
            <w:szCs w:val="14"/>
          </w:rPr>
          <w:fldChar w:fldCharType="begin"/>
        </w:r>
        <w:r w:rsidR="009313AA">
          <w:rPr>
            <w:rFonts w:cs="Arial"/>
            <w:bCs/>
            <w:sz w:val="14"/>
            <w:szCs w:val="14"/>
          </w:rPr>
          <w:instrText xml:space="preserve"> PAGE  \* Arabic  \* MERGEFORMAT </w:instrText>
        </w:r>
        <w:r w:rsidR="009313AA">
          <w:rPr>
            <w:rFonts w:cs="Arial"/>
            <w:bCs/>
            <w:sz w:val="14"/>
            <w:szCs w:val="14"/>
          </w:rPr>
          <w:fldChar w:fldCharType="separate"/>
        </w:r>
        <w:r w:rsidR="00FF651F">
          <w:rPr>
            <w:rFonts w:cs="Arial"/>
            <w:bCs/>
            <w:noProof/>
            <w:sz w:val="14"/>
            <w:szCs w:val="14"/>
          </w:rPr>
          <w:t>5</w:t>
        </w:r>
        <w:r w:rsidR="009313AA">
          <w:rPr>
            <w:rFonts w:cs="Arial"/>
            <w:bCs/>
            <w:sz w:val="14"/>
            <w:szCs w:val="14"/>
          </w:rPr>
          <w:fldChar w:fldCharType="end"/>
        </w:r>
        <w:r w:rsidR="009313AA">
          <w:rPr>
            <w:rFonts w:cs="Arial"/>
            <w:bCs/>
            <w:sz w:val="14"/>
            <w:szCs w:val="14"/>
          </w:rPr>
          <w:t xml:space="preserve"> of </w:t>
        </w:r>
        <w:r w:rsidR="009313AA">
          <w:rPr>
            <w:rFonts w:cs="Arial"/>
            <w:bCs/>
            <w:sz w:val="14"/>
            <w:szCs w:val="14"/>
          </w:rPr>
          <w:fldChar w:fldCharType="begin"/>
        </w:r>
        <w:r w:rsidR="009313AA">
          <w:rPr>
            <w:rFonts w:cs="Arial"/>
            <w:bCs/>
            <w:sz w:val="14"/>
            <w:szCs w:val="14"/>
          </w:rPr>
          <w:instrText xml:space="preserve"> NUMPAGES  \* Arabic  \* MERGEFORMAT </w:instrText>
        </w:r>
        <w:r w:rsidR="009313AA">
          <w:rPr>
            <w:rFonts w:cs="Arial"/>
            <w:bCs/>
            <w:sz w:val="14"/>
            <w:szCs w:val="14"/>
          </w:rPr>
          <w:fldChar w:fldCharType="separate"/>
        </w:r>
        <w:r w:rsidR="00FF651F">
          <w:rPr>
            <w:rFonts w:cs="Arial"/>
            <w:bCs/>
            <w:noProof/>
            <w:sz w:val="14"/>
            <w:szCs w:val="14"/>
          </w:rPr>
          <w:t>7</w:t>
        </w:r>
        <w:r w:rsidR="009313AA">
          <w:rPr>
            <w:rFonts w:cs="Arial"/>
            <w:bCs/>
            <w:sz w:val="14"/>
            <w:szCs w:val="14"/>
          </w:rPr>
          <w:fldChar w:fldCharType="end"/>
        </w:r>
      </w:p>
    </w:sdtContent>
  </w:sdt>
  <w:p w14:paraId="68098B5F" w14:textId="77777777" w:rsidR="009313AA" w:rsidRDefault="009313AA">
    <w:pPr>
      <w:pStyle w:val="Footer"/>
      <w:rPr>
        <w:sz w:val="14"/>
        <w:szCs w:val="14"/>
      </w:rPr>
    </w:pPr>
  </w:p>
  <w:p w14:paraId="5134AC20" w14:textId="77777777" w:rsidR="009313AA" w:rsidRPr="0048781B" w:rsidRDefault="009313AA">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73D5" w14:textId="77777777" w:rsidR="009313AA" w:rsidRDefault="009313AA" w:rsidP="00BF490E">
    <w:pPr>
      <w:widowControl w:val="0"/>
      <w:autoSpaceDE w:val="0"/>
      <w:autoSpaceDN w:val="0"/>
      <w:adjustRightInd w:val="0"/>
      <w:rPr>
        <w:rFonts w:cs="Arial"/>
        <w:b/>
        <w:bCs/>
        <w:sz w:val="12"/>
        <w:szCs w:val="16"/>
      </w:rPr>
    </w:pPr>
  </w:p>
  <w:p w14:paraId="53FAA8B1" w14:textId="77777777" w:rsidR="009313AA" w:rsidRPr="0048781B" w:rsidRDefault="009313AA" w:rsidP="00BF490E">
    <w:pPr>
      <w:widowControl w:val="0"/>
      <w:autoSpaceDE w:val="0"/>
      <w:autoSpaceDN w:val="0"/>
      <w:adjustRightInd w:val="0"/>
      <w:rPr>
        <w:rFonts w:cs="Arial"/>
        <w:b/>
        <w:bCs/>
        <w:sz w:val="14"/>
        <w:szCs w:val="14"/>
      </w:rPr>
    </w:pPr>
  </w:p>
  <w:p w14:paraId="522660DF" w14:textId="77777777" w:rsidR="009313AA" w:rsidRPr="0048781B" w:rsidRDefault="009313AA" w:rsidP="00BF490E">
    <w:pPr>
      <w:widowControl w:val="0"/>
      <w:autoSpaceDE w:val="0"/>
      <w:autoSpaceDN w:val="0"/>
      <w:adjustRightInd w:val="0"/>
      <w:rPr>
        <w:rFonts w:cs="Arial"/>
        <w:b/>
        <w:bCs/>
        <w:sz w:val="14"/>
        <w:szCs w:val="14"/>
      </w:rPr>
    </w:pPr>
  </w:p>
  <w:p w14:paraId="255F2B4C" w14:textId="77777777" w:rsidR="009313AA" w:rsidRDefault="009313AA" w:rsidP="00A6496F">
    <w:pPr>
      <w:widowControl w:val="0"/>
      <w:autoSpaceDE w:val="0"/>
      <w:autoSpaceDN w:val="0"/>
      <w:adjustRightInd w:val="0"/>
      <w:spacing w:line="240" w:lineRule="auto"/>
      <w:rPr>
        <w:rFonts w:cs="Arial"/>
        <w:b/>
        <w:bCs/>
        <w:sz w:val="14"/>
        <w:szCs w:val="14"/>
      </w:rPr>
    </w:pPr>
  </w:p>
  <w:p w14:paraId="4F0CC5BF" w14:textId="77777777" w:rsidR="009313AA" w:rsidRDefault="009313AA" w:rsidP="00A6496F">
    <w:pPr>
      <w:widowControl w:val="0"/>
      <w:autoSpaceDE w:val="0"/>
      <w:autoSpaceDN w:val="0"/>
      <w:adjustRightInd w:val="0"/>
      <w:spacing w:line="240" w:lineRule="auto"/>
      <w:rPr>
        <w:rFonts w:cs="Arial"/>
        <w:b/>
        <w:bCs/>
        <w:sz w:val="14"/>
        <w:szCs w:val="14"/>
      </w:rPr>
    </w:pPr>
    <w:r>
      <w:rPr>
        <w:rFonts w:cs="Arial"/>
        <w:b/>
        <w:bCs/>
        <w:sz w:val="14"/>
        <w:szCs w:val="14"/>
      </w:rPr>
      <w:t xml:space="preserve"> JSE Clear (Pty) Ltd Reg No: 1987/002294/07 Member of CCP12 – The Global Association of Central Counterparties </w:t>
    </w:r>
  </w:p>
  <w:p w14:paraId="380B00A3" w14:textId="77777777" w:rsidR="009313AA" w:rsidRDefault="009313AA" w:rsidP="00A6496F">
    <w:pPr>
      <w:widowControl w:val="0"/>
      <w:autoSpaceDE w:val="0"/>
      <w:autoSpaceDN w:val="0"/>
      <w:adjustRightInd w:val="0"/>
      <w:spacing w:line="240" w:lineRule="auto"/>
      <w:rPr>
        <w:rFonts w:cs="Arial"/>
        <w:b/>
        <w:bCs/>
        <w:sz w:val="14"/>
        <w:szCs w:val="14"/>
      </w:rPr>
    </w:pPr>
  </w:p>
  <w:p w14:paraId="1924354C" w14:textId="7325F564" w:rsidR="009313AA" w:rsidRPr="00C56CBC" w:rsidRDefault="009313AA" w:rsidP="00585F2E">
    <w:pPr>
      <w:widowControl w:val="0"/>
      <w:autoSpaceDE w:val="0"/>
      <w:autoSpaceDN w:val="0"/>
      <w:adjustRightInd w:val="0"/>
      <w:spacing w:line="240" w:lineRule="auto"/>
      <w:rPr>
        <w:rFonts w:cs="Arial"/>
        <w:bCs/>
        <w:sz w:val="14"/>
        <w:szCs w:val="14"/>
      </w:rPr>
    </w:pPr>
    <w:r>
      <w:rPr>
        <w:rFonts w:cs="Arial"/>
        <w:bCs/>
        <w:sz w:val="14"/>
        <w:szCs w:val="14"/>
      </w:rPr>
      <w:t xml:space="preserve">Page </w:t>
    </w:r>
    <w:r>
      <w:rPr>
        <w:rFonts w:cs="Arial"/>
        <w:bCs/>
        <w:sz w:val="14"/>
        <w:szCs w:val="14"/>
      </w:rPr>
      <w:fldChar w:fldCharType="begin"/>
    </w:r>
    <w:r>
      <w:rPr>
        <w:rFonts w:cs="Arial"/>
        <w:bCs/>
        <w:sz w:val="14"/>
        <w:szCs w:val="14"/>
      </w:rPr>
      <w:instrText xml:space="preserve"> PAGE  \* Arabic  \* MERGEFORMAT </w:instrText>
    </w:r>
    <w:r>
      <w:rPr>
        <w:rFonts w:cs="Arial"/>
        <w:bCs/>
        <w:sz w:val="14"/>
        <w:szCs w:val="14"/>
      </w:rPr>
      <w:fldChar w:fldCharType="separate"/>
    </w:r>
    <w:r w:rsidR="004A7078">
      <w:rPr>
        <w:rFonts w:cs="Arial"/>
        <w:bCs/>
        <w:noProof/>
        <w:sz w:val="14"/>
        <w:szCs w:val="14"/>
      </w:rPr>
      <w:t>1</w:t>
    </w:r>
    <w:r>
      <w:rPr>
        <w:rFonts w:cs="Arial"/>
        <w:bCs/>
        <w:sz w:val="14"/>
        <w:szCs w:val="14"/>
      </w:rPr>
      <w:fldChar w:fldCharType="end"/>
    </w:r>
    <w:r>
      <w:rPr>
        <w:rFonts w:cs="Arial"/>
        <w:bCs/>
        <w:sz w:val="14"/>
        <w:szCs w:val="14"/>
      </w:rPr>
      <w:t xml:space="preserve"> of </w:t>
    </w:r>
    <w:r>
      <w:rPr>
        <w:rFonts w:cs="Arial"/>
        <w:bCs/>
        <w:sz w:val="14"/>
        <w:szCs w:val="14"/>
      </w:rPr>
      <w:fldChar w:fldCharType="begin"/>
    </w:r>
    <w:r>
      <w:rPr>
        <w:rFonts w:cs="Arial"/>
        <w:bCs/>
        <w:sz w:val="14"/>
        <w:szCs w:val="14"/>
      </w:rPr>
      <w:instrText xml:space="preserve"> NUMPAGES  \* Arabic  \* MERGEFORMAT </w:instrText>
    </w:r>
    <w:r>
      <w:rPr>
        <w:rFonts w:cs="Arial"/>
        <w:bCs/>
        <w:sz w:val="14"/>
        <w:szCs w:val="14"/>
      </w:rPr>
      <w:fldChar w:fldCharType="separate"/>
    </w:r>
    <w:r w:rsidR="004A7078">
      <w:rPr>
        <w:rFonts w:cs="Arial"/>
        <w:bCs/>
        <w:noProof/>
        <w:sz w:val="14"/>
        <w:szCs w:val="14"/>
      </w:rPr>
      <w:t>1</w:t>
    </w:r>
    <w:r>
      <w:rPr>
        <w:rFonts w:cs="Arial"/>
        <w:bCs/>
        <w:sz w:val="14"/>
        <w:szCs w:val="14"/>
      </w:rPr>
      <w:fldChar w:fldCharType="end"/>
    </w:r>
  </w:p>
  <w:p w14:paraId="1D1D7469" w14:textId="77777777" w:rsidR="009313AA" w:rsidRDefault="009313AA" w:rsidP="003A6E23">
    <w:pPr>
      <w:widowControl w:val="0"/>
      <w:autoSpaceDE w:val="0"/>
      <w:autoSpaceDN w:val="0"/>
      <w:adjustRightInd w:val="0"/>
      <w:spacing w:line="240" w:lineRule="auto"/>
      <w:rPr>
        <w:rFonts w:cs="Arial"/>
        <w:b/>
        <w:bCs/>
        <w:sz w:val="13"/>
        <w:szCs w:val="13"/>
      </w:rPr>
    </w:pPr>
  </w:p>
  <w:p w14:paraId="0E07A4C8" w14:textId="77777777" w:rsidR="009313AA" w:rsidRPr="00AA59BF" w:rsidRDefault="009313AA" w:rsidP="003A6E23">
    <w:pPr>
      <w:widowControl w:val="0"/>
      <w:autoSpaceDE w:val="0"/>
      <w:autoSpaceDN w:val="0"/>
      <w:adjustRightInd w:val="0"/>
      <w:spacing w:line="240" w:lineRule="auto"/>
      <w:rPr>
        <w:rFonts w:cs="Arial"/>
        <w:b/>
        <w:bCs/>
        <w:sz w:val="13"/>
        <w:szCs w:val="1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190AD" w14:textId="1E37E5B7" w:rsidR="009313AA" w:rsidRDefault="00942C2C" w:rsidP="005C7CDB">
    <w:pPr>
      <w:widowControl w:val="0"/>
      <w:autoSpaceDE w:val="0"/>
      <w:autoSpaceDN w:val="0"/>
      <w:adjustRightInd w:val="0"/>
      <w:spacing w:line="240" w:lineRule="auto"/>
      <w:rPr>
        <w:rFonts w:eastAsiaTheme="minorEastAsia" w:cs="Arial"/>
        <w:bCs/>
        <w:color w:val="262626" w:themeColor="text1" w:themeTint="D9"/>
        <w:sz w:val="14"/>
        <w:szCs w:val="14"/>
      </w:rPr>
    </w:pPr>
    <w:r>
      <w:rPr>
        <w:rFonts w:ascii="Times New Roman" w:eastAsia="Calibri" w:hAnsi="Times New Roman"/>
        <w:noProof/>
        <w:color w:val="auto"/>
        <w:sz w:val="24"/>
      </w:rPr>
      <mc:AlternateContent>
        <mc:Choice Requires="wps">
          <w:drawing>
            <wp:anchor distT="0" distB="0" distL="114300" distR="114300" simplePos="0" relativeHeight="251658244" behindDoc="0" locked="0" layoutInCell="1" allowOverlap="1" wp14:anchorId="3FD85B57" wp14:editId="060D5885">
              <wp:simplePos x="0" y="0"/>
              <wp:positionH relativeFrom="column">
                <wp:posOffset>4038600</wp:posOffset>
              </wp:positionH>
              <wp:positionV relativeFrom="paragraph">
                <wp:posOffset>-124691</wp:posOffset>
              </wp:positionV>
              <wp:extent cx="2071370" cy="276860"/>
              <wp:effectExtent l="0" t="0" r="24130" b="27940"/>
              <wp:wrapNone/>
              <wp:docPr id="7" name="Text Box 7"/>
              <wp:cNvGraphicFramePr/>
              <a:graphic xmlns:a="http://schemas.openxmlformats.org/drawingml/2006/main">
                <a:graphicData uri="http://schemas.microsoft.com/office/word/2010/wordprocessingShape">
                  <wps:wsp>
                    <wps:cNvSpPr txBox="1"/>
                    <wps:spPr>
                      <a:xfrm>
                        <a:off x="0" y="0"/>
                        <a:ext cx="2071370" cy="276860"/>
                      </a:xfrm>
                      <a:prstGeom prst="rect">
                        <a:avLst/>
                      </a:prstGeom>
                      <a:solidFill>
                        <a:schemeClr val="lt1"/>
                      </a:solidFill>
                      <a:ln w="6350">
                        <a:solidFill>
                          <a:prstClr val="black"/>
                        </a:solidFill>
                      </a:ln>
                    </wps:spPr>
                    <wps:txbx>
                      <w:txbxContent>
                        <w:p w14:paraId="6A3500FA" w14:textId="77777777" w:rsidR="00942C2C" w:rsidRDefault="00942C2C" w:rsidP="00942C2C">
                          <w:pPr>
                            <w:jc w:val="center"/>
                            <w:rPr>
                              <w:i/>
                              <w:color w:val="FF0000"/>
                            </w:rPr>
                          </w:pPr>
                          <w:r>
                            <w:rPr>
                              <w:i/>
                              <w:color w:val="FF0000"/>
                            </w:rPr>
                            <w:t>Confidential – not for distribution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FD85B57" id="_x0000_t202" coordsize="21600,21600" o:spt="202" path="m,l,21600r21600,l21600,xe">
              <v:stroke joinstyle="miter"/>
              <v:path gradientshapeok="t" o:connecttype="rect"/>
            </v:shapetype>
            <v:shape id="Text Box 7" o:spid="_x0000_s1030" type="#_x0000_t202" style="position:absolute;left:0;text-align:left;margin-left:318pt;margin-top:-9.8pt;width:163.1pt;height:21.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" fillcolor="white [3201]" strokeweight=".5pt">
              <v:textbox>
                <w:txbxContent>
                  <w:p w14:paraId="6A3500FA" w14:textId="77777777" w:rsidR="00942C2C" w:rsidRDefault="00942C2C" w:rsidP="00942C2C">
                    <w:pPr>
                      <w:jc w:val="center"/>
                      <w:rPr>
                        <w:i/>
                        <w:color w:val="FF0000"/>
                      </w:rPr>
                    </w:pPr>
                    <w:r>
                      <w:rPr>
                        <w:i/>
                        <w:color w:val="FF0000"/>
                      </w:rPr>
                      <w:t>Confidential – not for distribution</w:t>
                    </w:r>
                  </w:p>
                </w:txbxContent>
              </v:textbox>
            </v:shape>
          </w:pict>
        </mc:Fallback>
      </mc:AlternateContent>
    </w:r>
    <w:r w:rsidR="009313AA">
      <w:rPr>
        <w:rFonts w:cs="Arial"/>
        <w:bCs/>
        <w:sz w:val="14"/>
        <w:szCs w:val="14"/>
      </w:rPr>
      <w:t xml:space="preserve">Page </w:t>
    </w:r>
    <w:r w:rsidR="009313AA">
      <w:rPr>
        <w:rFonts w:cs="Arial"/>
        <w:bCs/>
        <w:sz w:val="14"/>
        <w:szCs w:val="14"/>
      </w:rPr>
      <w:fldChar w:fldCharType="begin"/>
    </w:r>
    <w:r w:rsidR="009313AA">
      <w:rPr>
        <w:rFonts w:cs="Arial"/>
        <w:bCs/>
        <w:sz w:val="14"/>
        <w:szCs w:val="14"/>
      </w:rPr>
      <w:instrText xml:space="preserve"> PAGE  \* Arabic  \* MERGEFORMAT </w:instrText>
    </w:r>
    <w:r w:rsidR="009313AA">
      <w:rPr>
        <w:rFonts w:cs="Arial"/>
        <w:bCs/>
        <w:sz w:val="14"/>
        <w:szCs w:val="14"/>
      </w:rPr>
      <w:fldChar w:fldCharType="separate"/>
    </w:r>
    <w:r w:rsidR="00FF651F">
      <w:rPr>
        <w:rFonts w:cs="Arial"/>
        <w:bCs/>
        <w:noProof/>
        <w:sz w:val="14"/>
        <w:szCs w:val="14"/>
      </w:rPr>
      <w:t>2</w:t>
    </w:r>
    <w:r w:rsidR="009313AA">
      <w:rPr>
        <w:rFonts w:cs="Arial"/>
        <w:bCs/>
        <w:sz w:val="14"/>
        <w:szCs w:val="14"/>
      </w:rPr>
      <w:fldChar w:fldCharType="end"/>
    </w:r>
    <w:r w:rsidR="009313AA">
      <w:rPr>
        <w:rFonts w:cs="Arial"/>
        <w:bCs/>
        <w:sz w:val="14"/>
        <w:szCs w:val="14"/>
      </w:rPr>
      <w:t xml:space="preserve"> of </w:t>
    </w:r>
    <w:r w:rsidR="009313AA">
      <w:rPr>
        <w:rFonts w:cs="Arial"/>
        <w:bCs/>
        <w:sz w:val="14"/>
        <w:szCs w:val="14"/>
      </w:rPr>
      <w:fldChar w:fldCharType="begin"/>
    </w:r>
    <w:r w:rsidR="009313AA">
      <w:rPr>
        <w:rFonts w:cs="Arial"/>
        <w:bCs/>
        <w:sz w:val="14"/>
        <w:szCs w:val="14"/>
      </w:rPr>
      <w:instrText xml:space="preserve"> NUMPAGES  \* Arabic  \* MERGEFORMAT </w:instrText>
    </w:r>
    <w:r w:rsidR="009313AA">
      <w:rPr>
        <w:rFonts w:cs="Arial"/>
        <w:bCs/>
        <w:sz w:val="14"/>
        <w:szCs w:val="14"/>
      </w:rPr>
      <w:fldChar w:fldCharType="separate"/>
    </w:r>
    <w:r w:rsidR="00FF651F">
      <w:rPr>
        <w:rFonts w:cs="Arial"/>
        <w:bCs/>
        <w:noProof/>
        <w:sz w:val="14"/>
        <w:szCs w:val="14"/>
      </w:rPr>
      <w:t>7</w:t>
    </w:r>
    <w:r w:rsidR="009313AA">
      <w:rPr>
        <w:rFonts w:cs="Arial"/>
        <w:bCs/>
        <w:sz w:val="14"/>
        <w:szCs w:val="14"/>
      </w:rPr>
      <w:fldChar w:fldCharType="end"/>
    </w:r>
  </w:p>
  <w:p w14:paraId="1AF81424" w14:textId="7EABEAAF" w:rsidR="009313AA" w:rsidRDefault="009313AA" w:rsidP="005C7CDB">
    <w:pPr>
      <w:pStyle w:val="Footer"/>
      <w:rPr>
        <w:rFonts w:cstheme="minorBidi"/>
        <w:sz w:val="14"/>
        <w:szCs w:val="14"/>
      </w:rPr>
    </w:pPr>
  </w:p>
  <w:p w14:paraId="3A297402" w14:textId="77777777" w:rsidR="009313AA" w:rsidRDefault="009313AA" w:rsidP="005C7CDB">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5179F" w14:textId="77777777" w:rsidR="00736148" w:rsidRDefault="00736148" w:rsidP="0076126D">
      <w:pPr>
        <w:spacing w:line="240" w:lineRule="auto"/>
      </w:pPr>
      <w:r>
        <w:separator/>
      </w:r>
    </w:p>
  </w:footnote>
  <w:footnote w:type="continuationSeparator" w:id="0">
    <w:p w14:paraId="262C4905" w14:textId="77777777" w:rsidR="00736148" w:rsidRDefault="00736148" w:rsidP="0076126D">
      <w:pPr>
        <w:spacing w:line="240" w:lineRule="auto"/>
      </w:pPr>
      <w:r>
        <w:continuationSeparator/>
      </w:r>
    </w:p>
  </w:footnote>
  <w:footnote w:type="continuationNotice" w:id="1">
    <w:p w14:paraId="13185FFE" w14:textId="77777777" w:rsidR="00736148" w:rsidRDefault="00736148">
      <w:pPr>
        <w:spacing w:line="240" w:lineRule="auto"/>
      </w:pPr>
    </w:p>
  </w:footnote>
  <w:footnote w:id="2">
    <w:p w14:paraId="5D2D8A54" w14:textId="77777777" w:rsidR="009313AA" w:rsidRPr="006816A2" w:rsidRDefault="009313AA" w:rsidP="00234E83">
      <w:pPr>
        <w:pStyle w:val="FootnoteText"/>
        <w:rPr>
          <w:rFonts w:ascii="Arial Narrow" w:hAnsi="Arial Narrow"/>
          <w:sz w:val="18"/>
          <w:szCs w:val="18"/>
        </w:rPr>
      </w:pPr>
    </w:p>
  </w:footnote>
  <w:footnote w:id="3">
    <w:p w14:paraId="37209AAC" w14:textId="77777777" w:rsidR="009313AA" w:rsidRPr="008262C6" w:rsidRDefault="009313AA" w:rsidP="00234E83">
      <w:pPr>
        <w:pStyle w:val="FootnoteText"/>
        <w:rPr>
          <w:rFonts w:ascii="Arial Narrow" w:hAnsi="Arial Narrow"/>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82FB1" w14:textId="77777777" w:rsidR="0076018C" w:rsidRDefault="007601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AC3B0" w14:textId="77777777" w:rsidR="009313AA" w:rsidRDefault="00BB3E2C">
    <w:pPr>
      <w:pStyle w:val="Header"/>
    </w:pPr>
    <w:r>
      <w:rPr>
        <w:noProof/>
      </w:rPr>
      <w:drawing>
        <wp:anchor distT="0" distB="0" distL="114300" distR="114300" simplePos="0" relativeHeight="251658242" behindDoc="1" locked="0" layoutInCell="1" allowOverlap="1" wp14:anchorId="42A309D7" wp14:editId="03BD5321">
          <wp:simplePos x="0" y="0"/>
          <wp:positionH relativeFrom="column">
            <wp:posOffset>-720090</wp:posOffset>
          </wp:positionH>
          <wp:positionV relativeFrom="paragraph">
            <wp:posOffset>-72136</wp:posOffset>
          </wp:positionV>
          <wp:extent cx="4873752" cy="1314889"/>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30101"/>
                  <a:stretch/>
                </pic:blipFill>
                <pic:spPr bwMode="auto">
                  <a:xfrm>
                    <a:off x="0" y="0"/>
                    <a:ext cx="4873752" cy="131488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92260F" w14:textId="77777777" w:rsidR="009313AA" w:rsidRDefault="009313AA" w:rsidP="00BF490E">
    <w:pPr>
      <w:pStyle w:val="Header"/>
    </w:pPr>
  </w:p>
  <w:p w14:paraId="69CACF3C" w14:textId="77777777" w:rsidR="009313AA" w:rsidRDefault="009313AA">
    <w:pPr>
      <w:pStyle w:val="Header"/>
    </w:pPr>
  </w:p>
  <w:p w14:paraId="247D1D12" w14:textId="77777777" w:rsidR="009313AA" w:rsidRDefault="009313AA">
    <w:pPr>
      <w:pStyle w:val="Header"/>
    </w:pPr>
    <w:r>
      <w:rPr>
        <w:noProof/>
      </w:rPr>
      <w:drawing>
        <wp:anchor distT="0" distB="0" distL="114300" distR="114300" simplePos="0" relativeHeight="251658241" behindDoc="0" locked="0" layoutInCell="1" allowOverlap="1" wp14:anchorId="112ABA2F" wp14:editId="2F356276">
          <wp:simplePos x="0" y="0"/>
          <wp:positionH relativeFrom="column">
            <wp:posOffset>4154170</wp:posOffset>
          </wp:positionH>
          <wp:positionV relativeFrom="paragraph">
            <wp:posOffset>229235</wp:posOffset>
          </wp:positionV>
          <wp:extent cx="1924050" cy="40005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24050" cy="400050"/>
                  </a:xfrm>
                  <a:prstGeom prst="rect">
                    <a:avLst/>
                  </a:prstGeom>
                </pic:spPr>
              </pic:pic>
            </a:graphicData>
          </a:graphic>
        </wp:anchor>
      </w:drawing>
    </w:r>
  </w:p>
  <w:p w14:paraId="6ED10112" w14:textId="77777777" w:rsidR="009313AA" w:rsidRDefault="009313AA">
    <w:pPr>
      <w:pStyle w:val="Header"/>
    </w:pPr>
  </w:p>
  <w:p w14:paraId="6322FEF5" w14:textId="77777777" w:rsidR="009313AA" w:rsidRDefault="009313AA" w:rsidP="00BB3E2C">
    <w:pPr>
      <w:pStyle w:val="Header"/>
      <w:jc w:val="center"/>
    </w:pPr>
  </w:p>
  <w:p w14:paraId="509BDABD" w14:textId="77777777" w:rsidR="009313AA" w:rsidRDefault="009313AA">
    <w:pPr>
      <w:pStyle w:val="Header"/>
    </w:pPr>
  </w:p>
  <w:p w14:paraId="0623676B" w14:textId="77777777" w:rsidR="009313AA" w:rsidRDefault="009313AA">
    <w:pPr>
      <w:pStyle w:val="Header"/>
    </w:pPr>
  </w:p>
  <w:p w14:paraId="174336C9" w14:textId="77777777" w:rsidR="009313AA" w:rsidRDefault="009313AA">
    <w:pPr>
      <w:pStyle w:val="Header"/>
    </w:pPr>
  </w:p>
  <w:p w14:paraId="0899785E" w14:textId="77777777" w:rsidR="009313AA" w:rsidRDefault="009313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10B6" w14:textId="77777777" w:rsidR="009313AA" w:rsidRDefault="00BB3E2C" w:rsidP="0048781B">
    <w:pPr>
      <w:pStyle w:val="Header"/>
      <w:tabs>
        <w:tab w:val="left" w:pos="7279"/>
      </w:tabs>
    </w:pPr>
    <w:r>
      <w:rPr>
        <w:noProof/>
      </w:rPr>
      <w:drawing>
        <wp:anchor distT="0" distB="0" distL="114300" distR="114300" simplePos="0" relativeHeight="251658243" behindDoc="1" locked="0" layoutInCell="1" allowOverlap="1" wp14:anchorId="2E0F03FD" wp14:editId="1118C074">
          <wp:simplePos x="0" y="0"/>
          <wp:positionH relativeFrom="column">
            <wp:posOffset>-720090</wp:posOffset>
          </wp:positionH>
          <wp:positionV relativeFrom="paragraph">
            <wp:posOffset>-201676</wp:posOffset>
          </wp:positionV>
          <wp:extent cx="4718304" cy="1272559"/>
          <wp:effectExtent l="0" t="0" r="635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30101"/>
                  <a:stretch/>
                </pic:blipFill>
                <pic:spPr bwMode="auto">
                  <a:xfrm>
                    <a:off x="0" y="0"/>
                    <a:ext cx="4718304" cy="127255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CDBB35" w14:textId="77777777" w:rsidR="009313AA" w:rsidRDefault="009313AA">
    <w:pPr>
      <w:pStyle w:val="Header"/>
    </w:pPr>
  </w:p>
  <w:p w14:paraId="5293B6B8" w14:textId="77777777" w:rsidR="009313AA" w:rsidRDefault="009313AA">
    <w:pPr>
      <w:pStyle w:val="Header"/>
    </w:pPr>
  </w:p>
  <w:p w14:paraId="07D5A237" w14:textId="77777777" w:rsidR="009313AA" w:rsidRDefault="009313AA" w:rsidP="00BB3E2C">
    <w:pPr>
      <w:pStyle w:val="Header"/>
      <w:tabs>
        <w:tab w:val="clear" w:pos="4513"/>
        <w:tab w:val="clear" w:pos="9026"/>
        <w:tab w:val="left" w:pos="4061"/>
      </w:tabs>
    </w:pPr>
    <w:r>
      <w:rPr>
        <w:noProof/>
      </w:rPr>
      <w:drawing>
        <wp:anchor distT="0" distB="0" distL="114300" distR="114300" simplePos="0" relativeHeight="251658240" behindDoc="0" locked="0" layoutInCell="1" allowOverlap="1" wp14:anchorId="7D9BD6D0" wp14:editId="5E8CDE00">
          <wp:simplePos x="0" y="0"/>
          <wp:positionH relativeFrom="column">
            <wp:posOffset>4001798</wp:posOffset>
          </wp:positionH>
          <wp:positionV relativeFrom="paragraph">
            <wp:posOffset>76835</wp:posOffset>
          </wp:positionV>
          <wp:extent cx="1924050" cy="40005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24050" cy="400050"/>
                  </a:xfrm>
                  <a:prstGeom prst="rect">
                    <a:avLst/>
                  </a:prstGeom>
                </pic:spPr>
              </pic:pic>
            </a:graphicData>
          </a:graphic>
        </wp:anchor>
      </w:drawing>
    </w:r>
    <w:r w:rsidR="00BB3E2C">
      <w:tab/>
    </w:r>
  </w:p>
  <w:p w14:paraId="29BCC4A4" w14:textId="77777777" w:rsidR="009313AA" w:rsidRDefault="009313AA">
    <w:pPr>
      <w:pStyle w:val="Header"/>
    </w:pPr>
  </w:p>
  <w:p w14:paraId="49D084F2" w14:textId="77777777" w:rsidR="009313AA" w:rsidRDefault="009313AA">
    <w:pPr>
      <w:pStyle w:val="Header"/>
    </w:pPr>
  </w:p>
  <w:p w14:paraId="5F8908AF" w14:textId="77777777" w:rsidR="009313AA" w:rsidRDefault="009313AA">
    <w:pPr>
      <w:pStyle w:val="Header"/>
    </w:pPr>
  </w:p>
  <w:p w14:paraId="271F1A6F" w14:textId="77777777" w:rsidR="009313AA" w:rsidRDefault="009313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68A"/>
    <w:multiLevelType w:val="multilevel"/>
    <w:tmpl w:val="936E7D4C"/>
    <w:lvl w:ilvl="0">
      <w:start w:val="5"/>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12E6357"/>
    <w:multiLevelType w:val="hybridMultilevel"/>
    <w:tmpl w:val="949A8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62571"/>
    <w:multiLevelType w:val="hybridMultilevel"/>
    <w:tmpl w:val="32C05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611A3"/>
    <w:multiLevelType w:val="multilevel"/>
    <w:tmpl w:val="6CBCE0A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65E6DFE"/>
    <w:multiLevelType w:val="multilevel"/>
    <w:tmpl w:val="F1D89F0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070F0743"/>
    <w:multiLevelType w:val="multilevel"/>
    <w:tmpl w:val="311A0716"/>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0BBC4C7F"/>
    <w:multiLevelType w:val="multilevel"/>
    <w:tmpl w:val="B7D261C6"/>
    <w:lvl w:ilvl="0">
      <w:start w:val="4"/>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0D0531DC"/>
    <w:multiLevelType w:val="multilevel"/>
    <w:tmpl w:val="4C3ADD78"/>
    <w:numStyleLink w:val="Style1"/>
  </w:abstractNum>
  <w:abstractNum w:abstractNumId="8" w15:restartNumberingAfterBreak="0">
    <w:nsid w:val="10EB4648"/>
    <w:multiLevelType w:val="hybridMultilevel"/>
    <w:tmpl w:val="1362EB5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32D6AAF"/>
    <w:multiLevelType w:val="multilevel"/>
    <w:tmpl w:val="4C3ADD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18400557"/>
    <w:multiLevelType w:val="multilevel"/>
    <w:tmpl w:val="936E7D4C"/>
    <w:lvl w:ilvl="0">
      <w:start w:val="5"/>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184B3465"/>
    <w:multiLevelType w:val="multilevel"/>
    <w:tmpl w:val="50EA75F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16D028F"/>
    <w:multiLevelType w:val="multilevel"/>
    <w:tmpl w:val="4C3ADD78"/>
    <w:styleLink w:val="Style1"/>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6.1" w:hAnsi="6.1"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28730B4C"/>
    <w:multiLevelType w:val="multilevel"/>
    <w:tmpl w:val="F0348302"/>
    <w:lvl w:ilvl="0">
      <w:start w:val="6"/>
      <w:numFmt w:val="decimal"/>
      <w:lvlText w:val="%1"/>
      <w:lvlJc w:val="left"/>
      <w:pPr>
        <w:ind w:left="360" w:hanging="360"/>
      </w:pPr>
      <w:rPr>
        <w:rFonts w:ascii="Calibri" w:eastAsia="PMingLiU" w:hAnsi="Calibri" w:cs="Times New Roman" w:hint="default"/>
      </w:rPr>
    </w:lvl>
    <w:lvl w:ilvl="1">
      <w:start w:val="2"/>
      <w:numFmt w:val="decimal"/>
      <w:lvlText w:val="%1.%2"/>
      <w:lvlJc w:val="left"/>
      <w:pPr>
        <w:ind w:left="1080" w:hanging="360"/>
      </w:pPr>
      <w:rPr>
        <w:rFonts w:ascii="Calibri" w:eastAsia="PMingLiU" w:hAnsi="Calibri" w:cs="Times New Roman" w:hint="default"/>
      </w:rPr>
    </w:lvl>
    <w:lvl w:ilvl="2">
      <w:start w:val="1"/>
      <w:numFmt w:val="decimal"/>
      <w:lvlText w:val="%1.%2.%3"/>
      <w:lvlJc w:val="left"/>
      <w:pPr>
        <w:ind w:left="2160" w:hanging="720"/>
      </w:pPr>
      <w:rPr>
        <w:rFonts w:ascii="Calibri" w:eastAsia="PMingLiU" w:hAnsi="Calibri" w:cs="Times New Roman" w:hint="default"/>
      </w:rPr>
    </w:lvl>
    <w:lvl w:ilvl="3">
      <w:start w:val="1"/>
      <w:numFmt w:val="decimal"/>
      <w:lvlText w:val="%1.%2.%3.%4"/>
      <w:lvlJc w:val="left"/>
      <w:pPr>
        <w:ind w:left="2880" w:hanging="720"/>
      </w:pPr>
      <w:rPr>
        <w:rFonts w:ascii="Calibri" w:eastAsia="PMingLiU" w:hAnsi="Calibri" w:cs="Times New Roman" w:hint="default"/>
      </w:rPr>
    </w:lvl>
    <w:lvl w:ilvl="4">
      <w:start w:val="1"/>
      <w:numFmt w:val="decimal"/>
      <w:lvlText w:val="%1.%2.%3.%4.%5"/>
      <w:lvlJc w:val="left"/>
      <w:pPr>
        <w:ind w:left="3600" w:hanging="720"/>
      </w:pPr>
      <w:rPr>
        <w:rFonts w:ascii="Calibri" w:eastAsia="PMingLiU" w:hAnsi="Calibri" w:cs="Times New Roman" w:hint="default"/>
      </w:rPr>
    </w:lvl>
    <w:lvl w:ilvl="5">
      <w:start w:val="1"/>
      <w:numFmt w:val="decimal"/>
      <w:lvlText w:val="%1.%2.%3.%4.%5.%6"/>
      <w:lvlJc w:val="left"/>
      <w:pPr>
        <w:ind w:left="4680" w:hanging="1080"/>
      </w:pPr>
      <w:rPr>
        <w:rFonts w:ascii="Calibri" w:eastAsia="PMingLiU" w:hAnsi="Calibri" w:cs="Times New Roman" w:hint="default"/>
      </w:rPr>
    </w:lvl>
    <w:lvl w:ilvl="6">
      <w:start w:val="1"/>
      <w:numFmt w:val="decimal"/>
      <w:lvlText w:val="%1.%2.%3.%4.%5.%6.%7"/>
      <w:lvlJc w:val="left"/>
      <w:pPr>
        <w:ind w:left="5400" w:hanging="1080"/>
      </w:pPr>
      <w:rPr>
        <w:rFonts w:ascii="Calibri" w:eastAsia="PMingLiU" w:hAnsi="Calibri" w:cs="Times New Roman" w:hint="default"/>
      </w:rPr>
    </w:lvl>
    <w:lvl w:ilvl="7">
      <w:start w:val="1"/>
      <w:numFmt w:val="decimal"/>
      <w:lvlText w:val="%1.%2.%3.%4.%5.%6.%7.%8"/>
      <w:lvlJc w:val="left"/>
      <w:pPr>
        <w:ind w:left="6480" w:hanging="1440"/>
      </w:pPr>
      <w:rPr>
        <w:rFonts w:ascii="Calibri" w:eastAsia="PMingLiU" w:hAnsi="Calibri" w:cs="Times New Roman" w:hint="default"/>
      </w:rPr>
    </w:lvl>
    <w:lvl w:ilvl="8">
      <w:start w:val="1"/>
      <w:numFmt w:val="decimal"/>
      <w:lvlText w:val="%1.%2.%3.%4.%5.%6.%7.%8.%9"/>
      <w:lvlJc w:val="left"/>
      <w:pPr>
        <w:ind w:left="7200" w:hanging="1440"/>
      </w:pPr>
      <w:rPr>
        <w:rFonts w:ascii="Calibri" w:eastAsia="PMingLiU" w:hAnsi="Calibri" w:cs="Times New Roman" w:hint="default"/>
      </w:rPr>
    </w:lvl>
  </w:abstractNum>
  <w:abstractNum w:abstractNumId="14" w15:restartNumberingAfterBreak="0">
    <w:nsid w:val="2DDA4EBF"/>
    <w:multiLevelType w:val="multilevel"/>
    <w:tmpl w:val="2152AD4A"/>
    <w:lvl w:ilvl="0">
      <w:start w:val="9"/>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31F951C3"/>
    <w:multiLevelType w:val="multilevel"/>
    <w:tmpl w:val="1F92A5F6"/>
    <w:lvl w:ilvl="0">
      <w:start w:val="6"/>
      <w:numFmt w:val="decimal"/>
      <w:lvlText w:val="%1"/>
      <w:lvlJc w:val="left"/>
      <w:pPr>
        <w:ind w:left="360" w:hanging="360"/>
      </w:pPr>
      <w:rPr>
        <w:rFonts w:ascii="Calibri" w:eastAsia="PMingLiU" w:hAnsi="Calibri" w:cs="Times New Roman" w:hint="default"/>
      </w:rPr>
    </w:lvl>
    <w:lvl w:ilvl="1">
      <w:start w:val="4"/>
      <w:numFmt w:val="decimal"/>
      <w:lvlText w:val="%1.%2"/>
      <w:lvlJc w:val="left"/>
      <w:pPr>
        <w:ind w:left="1080" w:hanging="360"/>
      </w:pPr>
      <w:rPr>
        <w:rFonts w:ascii="Calibri" w:eastAsia="PMingLiU" w:hAnsi="Calibri" w:cs="Times New Roman" w:hint="default"/>
      </w:rPr>
    </w:lvl>
    <w:lvl w:ilvl="2">
      <w:start w:val="1"/>
      <w:numFmt w:val="decimal"/>
      <w:lvlText w:val="%1.%2.%3"/>
      <w:lvlJc w:val="left"/>
      <w:pPr>
        <w:ind w:left="2160" w:hanging="720"/>
      </w:pPr>
      <w:rPr>
        <w:rFonts w:ascii="Calibri" w:eastAsia="PMingLiU" w:hAnsi="Calibri" w:cs="Times New Roman" w:hint="default"/>
      </w:rPr>
    </w:lvl>
    <w:lvl w:ilvl="3">
      <w:start w:val="1"/>
      <w:numFmt w:val="decimal"/>
      <w:lvlText w:val="%1.%2.%3.%4"/>
      <w:lvlJc w:val="left"/>
      <w:pPr>
        <w:ind w:left="2880" w:hanging="720"/>
      </w:pPr>
      <w:rPr>
        <w:rFonts w:ascii="Calibri" w:eastAsia="PMingLiU" w:hAnsi="Calibri" w:cs="Times New Roman" w:hint="default"/>
      </w:rPr>
    </w:lvl>
    <w:lvl w:ilvl="4">
      <w:start w:val="1"/>
      <w:numFmt w:val="decimal"/>
      <w:lvlText w:val="%1.%2.%3.%4.%5"/>
      <w:lvlJc w:val="left"/>
      <w:pPr>
        <w:ind w:left="3600" w:hanging="720"/>
      </w:pPr>
      <w:rPr>
        <w:rFonts w:ascii="Calibri" w:eastAsia="PMingLiU" w:hAnsi="Calibri" w:cs="Times New Roman" w:hint="default"/>
      </w:rPr>
    </w:lvl>
    <w:lvl w:ilvl="5">
      <w:start w:val="1"/>
      <w:numFmt w:val="decimal"/>
      <w:lvlText w:val="%1.%2.%3.%4.%5.%6"/>
      <w:lvlJc w:val="left"/>
      <w:pPr>
        <w:ind w:left="4680" w:hanging="1080"/>
      </w:pPr>
      <w:rPr>
        <w:rFonts w:ascii="Calibri" w:eastAsia="PMingLiU" w:hAnsi="Calibri" w:cs="Times New Roman" w:hint="default"/>
      </w:rPr>
    </w:lvl>
    <w:lvl w:ilvl="6">
      <w:start w:val="1"/>
      <w:numFmt w:val="decimal"/>
      <w:lvlText w:val="%1.%2.%3.%4.%5.%6.%7"/>
      <w:lvlJc w:val="left"/>
      <w:pPr>
        <w:ind w:left="5400" w:hanging="1080"/>
      </w:pPr>
      <w:rPr>
        <w:rFonts w:ascii="Calibri" w:eastAsia="PMingLiU" w:hAnsi="Calibri" w:cs="Times New Roman" w:hint="default"/>
      </w:rPr>
    </w:lvl>
    <w:lvl w:ilvl="7">
      <w:start w:val="1"/>
      <w:numFmt w:val="decimal"/>
      <w:lvlText w:val="%1.%2.%3.%4.%5.%6.%7.%8"/>
      <w:lvlJc w:val="left"/>
      <w:pPr>
        <w:ind w:left="6480" w:hanging="1440"/>
      </w:pPr>
      <w:rPr>
        <w:rFonts w:ascii="Calibri" w:eastAsia="PMingLiU" w:hAnsi="Calibri" w:cs="Times New Roman" w:hint="default"/>
      </w:rPr>
    </w:lvl>
    <w:lvl w:ilvl="8">
      <w:start w:val="1"/>
      <w:numFmt w:val="decimal"/>
      <w:lvlText w:val="%1.%2.%3.%4.%5.%6.%7.%8.%9"/>
      <w:lvlJc w:val="left"/>
      <w:pPr>
        <w:ind w:left="7200" w:hanging="1440"/>
      </w:pPr>
      <w:rPr>
        <w:rFonts w:ascii="Calibri" w:eastAsia="PMingLiU" w:hAnsi="Calibri" w:cs="Times New Roman" w:hint="default"/>
      </w:rPr>
    </w:lvl>
  </w:abstractNum>
  <w:abstractNum w:abstractNumId="16" w15:restartNumberingAfterBreak="0">
    <w:nsid w:val="36AB7ABD"/>
    <w:multiLevelType w:val="hybridMultilevel"/>
    <w:tmpl w:val="684CBC14"/>
    <w:lvl w:ilvl="0" w:tplc="0409000B">
      <w:start w:val="1"/>
      <w:numFmt w:val="bullet"/>
      <w:lvlText w:val=""/>
      <w:lvlJc w:val="left"/>
      <w:pPr>
        <w:tabs>
          <w:tab w:val="num" w:pos="720"/>
        </w:tabs>
        <w:ind w:left="720" w:hanging="360"/>
      </w:pPr>
      <w:rPr>
        <w:rFonts w:ascii="Wingdings" w:hAnsi="Wingdings" w:hint="default"/>
      </w:rPr>
    </w:lvl>
    <w:lvl w:ilvl="1" w:tplc="D52EC00E">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D846E5"/>
    <w:multiLevelType w:val="hybridMultilevel"/>
    <w:tmpl w:val="1AEC2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D46683A"/>
    <w:multiLevelType w:val="hybridMultilevel"/>
    <w:tmpl w:val="7EFCF0A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06B099E"/>
    <w:multiLevelType w:val="multilevel"/>
    <w:tmpl w:val="6FEAD394"/>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40B22BEC"/>
    <w:multiLevelType w:val="multilevel"/>
    <w:tmpl w:val="1E7CF99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heme="minorHAnsi" w:hAnsiTheme="minorHAnsi"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1" w15:restartNumberingAfterBreak="0">
    <w:nsid w:val="47BB1A55"/>
    <w:multiLevelType w:val="hybridMultilevel"/>
    <w:tmpl w:val="D6A638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AE32457"/>
    <w:multiLevelType w:val="multilevel"/>
    <w:tmpl w:val="4C3ADD78"/>
    <w:numStyleLink w:val="Style1"/>
  </w:abstractNum>
  <w:abstractNum w:abstractNumId="23" w15:restartNumberingAfterBreak="0">
    <w:nsid w:val="4EE3253D"/>
    <w:multiLevelType w:val="multilevel"/>
    <w:tmpl w:val="C12AE75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3680F2E"/>
    <w:multiLevelType w:val="multilevel"/>
    <w:tmpl w:val="4C3ADD78"/>
    <w:numStyleLink w:val="Style1"/>
  </w:abstractNum>
  <w:abstractNum w:abstractNumId="25" w15:restartNumberingAfterBreak="0">
    <w:nsid w:val="577F73A1"/>
    <w:multiLevelType w:val="hybridMultilevel"/>
    <w:tmpl w:val="8998254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 w15:restartNumberingAfterBreak="0">
    <w:nsid w:val="58D93E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A071855"/>
    <w:multiLevelType w:val="hybridMultilevel"/>
    <w:tmpl w:val="B3427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061EFE"/>
    <w:multiLevelType w:val="hybridMultilevel"/>
    <w:tmpl w:val="6EB447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2D85738"/>
    <w:multiLevelType w:val="hybridMultilevel"/>
    <w:tmpl w:val="6AE8A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C87D98"/>
    <w:multiLevelType w:val="hybridMultilevel"/>
    <w:tmpl w:val="4F469C2A"/>
    <w:lvl w:ilvl="0" w:tplc="7974EA70">
      <w:start w:val="7"/>
      <w:numFmt w:val="bullet"/>
      <w:lvlText w:val="-"/>
      <w:lvlJc w:val="left"/>
      <w:pPr>
        <w:ind w:left="1440" w:hanging="360"/>
      </w:pPr>
      <w:rPr>
        <w:rFonts w:ascii="Calibri" w:eastAsia="PMingLiU" w:hAnsi="Calibri" w:cs="Calibri"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1" w15:restartNumberingAfterBreak="0">
    <w:nsid w:val="7E817322"/>
    <w:multiLevelType w:val="hybridMultilevel"/>
    <w:tmpl w:val="B106C8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48169254">
    <w:abstractNumId w:val="17"/>
  </w:num>
  <w:num w:numId="2" w16cid:durableId="1237741141">
    <w:abstractNumId w:val="20"/>
  </w:num>
  <w:num w:numId="3" w16cid:durableId="1996835872">
    <w:abstractNumId w:val="27"/>
  </w:num>
  <w:num w:numId="4" w16cid:durableId="503398052">
    <w:abstractNumId w:val="0"/>
  </w:num>
  <w:num w:numId="5" w16cid:durableId="444933844">
    <w:abstractNumId w:val="16"/>
  </w:num>
  <w:num w:numId="6" w16cid:durableId="1072505954">
    <w:abstractNumId w:val="11"/>
  </w:num>
  <w:num w:numId="7" w16cid:durableId="1660228926">
    <w:abstractNumId w:val="9"/>
  </w:num>
  <w:num w:numId="8" w16cid:durableId="383411198">
    <w:abstractNumId w:val="21"/>
  </w:num>
  <w:num w:numId="9" w16cid:durableId="1624310759">
    <w:abstractNumId w:val="31"/>
  </w:num>
  <w:num w:numId="10" w16cid:durableId="1653872529">
    <w:abstractNumId w:val="5"/>
  </w:num>
  <w:num w:numId="11" w16cid:durableId="5181390">
    <w:abstractNumId w:val="1"/>
  </w:num>
  <w:num w:numId="12" w16cid:durableId="342048341">
    <w:abstractNumId w:val="19"/>
  </w:num>
  <w:num w:numId="13" w16cid:durableId="1379084099">
    <w:abstractNumId w:val="6"/>
  </w:num>
  <w:num w:numId="14" w16cid:durableId="95906883">
    <w:abstractNumId w:val="12"/>
  </w:num>
  <w:num w:numId="15" w16cid:durableId="230386436">
    <w:abstractNumId w:val="24"/>
  </w:num>
  <w:num w:numId="16" w16cid:durableId="1003896792">
    <w:abstractNumId w:val="29"/>
  </w:num>
  <w:num w:numId="17" w16cid:durableId="702367792">
    <w:abstractNumId w:val="2"/>
  </w:num>
  <w:num w:numId="18" w16cid:durableId="1191994927">
    <w:abstractNumId w:val="6"/>
    <w:lvlOverride w:ilvl="0">
      <w:lvl w:ilvl="0">
        <w:start w:val="6"/>
        <w:numFmt w:val="decimal"/>
        <w:lvlText w:val="%1."/>
        <w:lvlJc w:val="left"/>
        <w:pPr>
          <w:ind w:left="720" w:hanging="360"/>
        </w:pPr>
        <w:rPr>
          <w:rFonts w:hint="default"/>
        </w:rPr>
      </w:lvl>
    </w:lvlOverride>
    <w:lvlOverride w:ilvl="1">
      <w:lvl w:ilvl="1">
        <w:start w:val="1"/>
        <w:numFmt w:val="decimal"/>
        <w:isLgl/>
        <w:lvlText w:val="%1.%2"/>
        <w:lvlJc w:val="left"/>
        <w:pPr>
          <w:ind w:left="1080" w:hanging="36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520" w:hanging="72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600" w:hanging="108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4680" w:hanging="1440"/>
        </w:pPr>
        <w:rPr>
          <w:rFonts w:hint="default"/>
        </w:rPr>
      </w:lvl>
    </w:lvlOverride>
  </w:num>
  <w:num w:numId="19" w16cid:durableId="471950817">
    <w:abstractNumId w:val="10"/>
  </w:num>
  <w:num w:numId="20" w16cid:durableId="1360280278">
    <w:abstractNumId w:val="7"/>
  </w:num>
  <w:num w:numId="21" w16cid:durableId="537858552">
    <w:abstractNumId w:val="22"/>
  </w:num>
  <w:num w:numId="22" w16cid:durableId="986207780">
    <w:abstractNumId w:val="4"/>
  </w:num>
  <w:num w:numId="23" w16cid:durableId="1150053059">
    <w:abstractNumId w:val="23"/>
  </w:num>
  <w:num w:numId="24" w16cid:durableId="1195773162">
    <w:abstractNumId w:val="15"/>
  </w:num>
  <w:num w:numId="25" w16cid:durableId="1714160411">
    <w:abstractNumId w:val="13"/>
  </w:num>
  <w:num w:numId="26" w16cid:durableId="648483049">
    <w:abstractNumId w:val="3"/>
  </w:num>
  <w:num w:numId="27" w16cid:durableId="186799698">
    <w:abstractNumId w:val="26"/>
  </w:num>
  <w:num w:numId="28" w16cid:durableId="1173838957">
    <w:abstractNumId w:val="14"/>
  </w:num>
  <w:num w:numId="29" w16cid:durableId="388236746">
    <w:abstractNumId w:val="8"/>
  </w:num>
  <w:num w:numId="30" w16cid:durableId="1447308110">
    <w:abstractNumId w:val="18"/>
  </w:num>
  <w:num w:numId="31" w16cid:durableId="633633218">
    <w:abstractNumId w:val="25"/>
  </w:num>
  <w:num w:numId="32" w16cid:durableId="820119630">
    <w:abstractNumId w:val="28"/>
  </w:num>
  <w:num w:numId="33" w16cid:durableId="20771275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E1F"/>
    <w:rsid w:val="000017CA"/>
    <w:rsid w:val="00013099"/>
    <w:rsid w:val="00013C37"/>
    <w:rsid w:val="00013C7E"/>
    <w:rsid w:val="000205F4"/>
    <w:rsid w:val="00026835"/>
    <w:rsid w:val="0003280D"/>
    <w:rsid w:val="00032AFF"/>
    <w:rsid w:val="00034D63"/>
    <w:rsid w:val="000357A8"/>
    <w:rsid w:val="00044FD6"/>
    <w:rsid w:val="00046E4A"/>
    <w:rsid w:val="000517F2"/>
    <w:rsid w:val="000524A7"/>
    <w:rsid w:val="0005288F"/>
    <w:rsid w:val="00061DEA"/>
    <w:rsid w:val="00063F76"/>
    <w:rsid w:val="00070AA3"/>
    <w:rsid w:val="000721FE"/>
    <w:rsid w:val="00077049"/>
    <w:rsid w:val="0008515A"/>
    <w:rsid w:val="00091E9B"/>
    <w:rsid w:val="00095E13"/>
    <w:rsid w:val="000A30D9"/>
    <w:rsid w:val="000A5E71"/>
    <w:rsid w:val="000A751D"/>
    <w:rsid w:val="000A7BAD"/>
    <w:rsid w:val="000B111E"/>
    <w:rsid w:val="000B26ED"/>
    <w:rsid w:val="000B2ABB"/>
    <w:rsid w:val="000C19FB"/>
    <w:rsid w:val="000C523F"/>
    <w:rsid w:val="000C5B89"/>
    <w:rsid w:val="000C61D5"/>
    <w:rsid w:val="000C6F57"/>
    <w:rsid w:val="000C7551"/>
    <w:rsid w:val="000D5958"/>
    <w:rsid w:val="000D64B7"/>
    <w:rsid w:val="000E128E"/>
    <w:rsid w:val="000E4169"/>
    <w:rsid w:val="000F2FD4"/>
    <w:rsid w:val="000F5335"/>
    <w:rsid w:val="000F5434"/>
    <w:rsid w:val="00103ED1"/>
    <w:rsid w:val="00104A6B"/>
    <w:rsid w:val="00105530"/>
    <w:rsid w:val="00111062"/>
    <w:rsid w:val="00113BDE"/>
    <w:rsid w:val="00123FA1"/>
    <w:rsid w:val="001265CE"/>
    <w:rsid w:val="00127233"/>
    <w:rsid w:val="00127C4E"/>
    <w:rsid w:val="0013146E"/>
    <w:rsid w:val="0013226F"/>
    <w:rsid w:val="001346F3"/>
    <w:rsid w:val="00135231"/>
    <w:rsid w:val="00136C3B"/>
    <w:rsid w:val="001372B5"/>
    <w:rsid w:val="00137F21"/>
    <w:rsid w:val="001425B2"/>
    <w:rsid w:val="00143036"/>
    <w:rsid w:val="0014699B"/>
    <w:rsid w:val="001539C0"/>
    <w:rsid w:val="0015433A"/>
    <w:rsid w:val="001563EF"/>
    <w:rsid w:val="00160BC7"/>
    <w:rsid w:val="00175B39"/>
    <w:rsid w:val="00180C7D"/>
    <w:rsid w:val="00180ED0"/>
    <w:rsid w:val="00184ED8"/>
    <w:rsid w:val="00186729"/>
    <w:rsid w:val="00187247"/>
    <w:rsid w:val="00195E5C"/>
    <w:rsid w:val="00196706"/>
    <w:rsid w:val="00196FB5"/>
    <w:rsid w:val="001A3772"/>
    <w:rsid w:val="001A7EE5"/>
    <w:rsid w:val="001B0C43"/>
    <w:rsid w:val="001B25AC"/>
    <w:rsid w:val="001C03BC"/>
    <w:rsid w:val="001C081B"/>
    <w:rsid w:val="001C2053"/>
    <w:rsid w:val="001C4019"/>
    <w:rsid w:val="001C79C0"/>
    <w:rsid w:val="001D25AA"/>
    <w:rsid w:val="001D6C11"/>
    <w:rsid w:val="001D7F67"/>
    <w:rsid w:val="001E0DEC"/>
    <w:rsid w:val="001E2867"/>
    <w:rsid w:val="001F5267"/>
    <w:rsid w:val="002075BE"/>
    <w:rsid w:val="002205C4"/>
    <w:rsid w:val="0022454C"/>
    <w:rsid w:val="002305C1"/>
    <w:rsid w:val="00233CBB"/>
    <w:rsid w:val="00234E83"/>
    <w:rsid w:val="002353C0"/>
    <w:rsid w:val="00240E70"/>
    <w:rsid w:val="00246565"/>
    <w:rsid w:val="00246ABA"/>
    <w:rsid w:val="0025196C"/>
    <w:rsid w:val="0025217C"/>
    <w:rsid w:val="002604FC"/>
    <w:rsid w:val="00260E2E"/>
    <w:rsid w:val="002647FA"/>
    <w:rsid w:val="00266153"/>
    <w:rsid w:val="0026789E"/>
    <w:rsid w:val="00276D30"/>
    <w:rsid w:val="00280B4F"/>
    <w:rsid w:val="00281609"/>
    <w:rsid w:val="002901D0"/>
    <w:rsid w:val="0029775E"/>
    <w:rsid w:val="00297AB8"/>
    <w:rsid w:val="002A3D06"/>
    <w:rsid w:val="002A4A52"/>
    <w:rsid w:val="002A4E56"/>
    <w:rsid w:val="002A70A9"/>
    <w:rsid w:val="002B10ED"/>
    <w:rsid w:val="002B2FD7"/>
    <w:rsid w:val="002B7581"/>
    <w:rsid w:val="002C6060"/>
    <w:rsid w:val="002D1017"/>
    <w:rsid w:val="002D150F"/>
    <w:rsid w:val="002D5CB4"/>
    <w:rsid w:val="002D6789"/>
    <w:rsid w:val="002E0C2C"/>
    <w:rsid w:val="002E187E"/>
    <w:rsid w:val="002F1545"/>
    <w:rsid w:val="002F2826"/>
    <w:rsid w:val="002F2E8F"/>
    <w:rsid w:val="002F4622"/>
    <w:rsid w:val="002F7D1C"/>
    <w:rsid w:val="00302950"/>
    <w:rsid w:val="003058F6"/>
    <w:rsid w:val="00317696"/>
    <w:rsid w:val="003202E6"/>
    <w:rsid w:val="0032415F"/>
    <w:rsid w:val="00326F41"/>
    <w:rsid w:val="00330306"/>
    <w:rsid w:val="00331890"/>
    <w:rsid w:val="00335021"/>
    <w:rsid w:val="003438FF"/>
    <w:rsid w:val="00343DF9"/>
    <w:rsid w:val="0035218F"/>
    <w:rsid w:val="00353FC3"/>
    <w:rsid w:val="00360AD4"/>
    <w:rsid w:val="0036218D"/>
    <w:rsid w:val="003624D9"/>
    <w:rsid w:val="00362D31"/>
    <w:rsid w:val="0036550C"/>
    <w:rsid w:val="00365633"/>
    <w:rsid w:val="00366696"/>
    <w:rsid w:val="0037158A"/>
    <w:rsid w:val="00373069"/>
    <w:rsid w:val="00374215"/>
    <w:rsid w:val="00374FF3"/>
    <w:rsid w:val="00377A2F"/>
    <w:rsid w:val="00385666"/>
    <w:rsid w:val="00395394"/>
    <w:rsid w:val="003A3899"/>
    <w:rsid w:val="003A5728"/>
    <w:rsid w:val="003A69F0"/>
    <w:rsid w:val="003A6E23"/>
    <w:rsid w:val="003A7BD3"/>
    <w:rsid w:val="003C03DB"/>
    <w:rsid w:val="003C4397"/>
    <w:rsid w:val="003D302C"/>
    <w:rsid w:val="003D44FA"/>
    <w:rsid w:val="003D5537"/>
    <w:rsid w:val="003E0313"/>
    <w:rsid w:val="003E26BD"/>
    <w:rsid w:val="003F1BB3"/>
    <w:rsid w:val="003F1F84"/>
    <w:rsid w:val="003F6210"/>
    <w:rsid w:val="003F7747"/>
    <w:rsid w:val="00403214"/>
    <w:rsid w:val="00403BD4"/>
    <w:rsid w:val="00404901"/>
    <w:rsid w:val="00406CD2"/>
    <w:rsid w:val="00406F71"/>
    <w:rsid w:val="00407F28"/>
    <w:rsid w:val="00410471"/>
    <w:rsid w:val="00421E6E"/>
    <w:rsid w:val="0042563A"/>
    <w:rsid w:val="00433B72"/>
    <w:rsid w:val="004375D7"/>
    <w:rsid w:val="00442E67"/>
    <w:rsid w:val="0045463D"/>
    <w:rsid w:val="00463230"/>
    <w:rsid w:val="00464591"/>
    <w:rsid w:val="00466E3A"/>
    <w:rsid w:val="00471D10"/>
    <w:rsid w:val="00471E1F"/>
    <w:rsid w:val="00474C03"/>
    <w:rsid w:val="00476FE8"/>
    <w:rsid w:val="00487111"/>
    <w:rsid w:val="0048781B"/>
    <w:rsid w:val="00494FDC"/>
    <w:rsid w:val="004A12DF"/>
    <w:rsid w:val="004A66C9"/>
    <w:rsid w:val="004A7078"/>
    <w:rsid w:val="004A7D5E"/>
    <w:rsid w:val="004B41EE"/>
    <w:rsid w:val="004B6059"/>
    <w:rsid w:val="004B7600"/>
    <w:rsid w:val="004B7960"/>
    <w:rsid w:val="004C025E"/>
    <w:rsid w:val="004C3F33"/>
    <w:rsid w:val="004C5259"/>
    <w:rsid w:val="004D26C2"/>
    <w:rsid w:val="004E1DEA"/>
    <w:rsid w:val="004E7B57"/>
    <w:rsid w:val="004F1C46"/>
    <w:rsid w:val="004F3AF6"/>
    <w:rsid w:val="004F43B4"/>
    <w:rsid w:val="00501EC6"/>
    <w:rsid w:val="00504480"/>
    <w:rsid w:val="00512136"/>
    <w:rsid w:val="00515DE8"/>
    <w:rsid w:val="00520015"/>
    <w:rsid w:val="0052577E"/>
    <w:rsid w:val="00526F67"/>
    <w:rsid w:val="0052732F"/>
    <w:rsid w:val="00535781"/>
    <w:rsid w:val="0054139F"/>
    <w:rsid w:val="00552997"/>
    <w:rsid w:val="00554573"/>
    <w:rsid w:val="00554EF4"/>
    <w:rsid w:val="00554FA1"/>
    <w:rsid w:val="00555834"/>
    <w:rsid w:val="00556E85"/>
    <w:rsid w:val="00571A9E"/>
    <w:rsid w:val="005823FE"/>
    <w:rsid w:val="005845AE"/>
    <w:rsid w:val="00585F2E"/>
    <w:rsid w:val="00586D47"/>
    <w:rsid w:val="0059124A"/>
    <w:rsid w:val="00596A89"/>
    <w:rsid w:val="005A6028"/>
    <w:rsid w:val="005B1A60"/>
    <w:rsid w:val="005B41FE"/>
    <w:rsid w:val="005B43F9"/>
    <w:rsid w:val="005C21D5"/>
    <w:rsid w:val="005C2C96"/>
    <w:rsid w:val="005C2FD1"/>
    <w:rsid w:val="005C67D1"/>
    <w:rsid w:val="005C7CDB"/>
    <w:rsid w:val="005D0DA3"/>
    <w:rsid w:val="005D67C2"/>
    <w:rsid w:val="005D7248"/>
    <w:rsid w:val="005D7EE8"/>
    <w:rsid w:val="005E1021"/>
    <w:rsid w:val="005E3D80"/>
    <w:rsid w:val="005E72CD"/>
    <w:rsid w:val="005F08E0"/>
    <w:rsid w:val="00603E1F"/>
    <w:rsid w:val="00606CA1"/>
    <w:rsid w:val="0060762C"/>
    <w:rsid w:val="0061070C"/>
    <w:rsid w:val="006157FB"/>
    <w:rsid w:val="00615D4E"/>
    <w:rsid w:val="00624D34"/>
    <w:rsid w:val="00632A16"/>
    <w:rsid w:val="00641198"/>
    <w:rsid w:val="00643F1E"/>
    <w:rsid w:val="0064421B"/>
    <w:rsid w:val="0064431C"/>
    <w:rsid w:val="006458A2"/>
    <w:rsid w:val="00651B19"/>
    <w:rsid w:val="00666B26"/>
    <w:rsid w:val="00671E9F"/>
    <w:rsid w:val="006729B0"/>
    <w:rsid w:val="00676BE3"/>
    <w:rsid w:val="0067772F"/>
    <w:rsid w:val="006800AD"/>
    <w:rsid w:val="00681661"/>
    <w:rsid w:val="00682620"/>
    <w:rsid w:val="00683AFF"/>
    <w:rsid w:val="006862FC"/>
    <w:rsid w:val="00695BCD"/>
    <w:rsid w:val="006A0CA5"/>
    <w:rsid w:val="006A6B8B"/>
    <w:rsid w:val="006A7476"/>
    <w:rsid w:val="006C0D16"/>
    <w:rsid w:val="006C4DB3"/>
    <w:rsid w:val="006C608A"/>
    <w:rsid w:val="006D0799"/>
    <w:rsid w:val="006D0BAD"/>
    <w:rsid w:val="006D1D05"/>
    <w:rsid w:val="006D38EE"/>
    <w:rsid w:val="006E6107"/>
    <w:rsid w:val="006E6FC8"/>
    <w:rsid w:val="006E73D3"/>
    <w:rsid w:val="006F3517"/>
    <w:rsid w:val="006F61CA"/>
    <w:rsid w:val="007128B2"/>
    <w:rsid w:val="00730789"/>
    <w:rsid w:val="00736148"/>
    <w:rsid w:val="007407B5"/>
    <w:rsid w:val="0074110A"/>
    <w:rsid w:val="00743FA3"/>
    <w:rsid w:val="007465FF"/>
    <w:rsid w:val="00747FE9"/>
    <w:rsid w:val="007556B6"/>
    <w:rsid w:val="00756537"/>
    <w:rsid w:val="00756756"/>
    <w:rsid w:val="0076018C"/>
    <w:rsid w:val="007607D4"/>
    <w:rsid w:val="0076126D"/>
    <w:rsid w:val="00761929"/>
    <w:rsid w:val="007671BB"/>
    <w:rsid w:val="00772DE8"/>
    <w:rsid w:val="00774731"/>
    <w:rsid w:val="00776AB9"/>
    <w:rsid w:val="00787FD1"/>
    <w:rsid w:val="00791BEB"/>
    <w:rsid w:val="00791E57"/>
    <w:rsid w:val="0079243C"/>
    <w:rsid w:val="0079657F"/>
    <w:rsid w:val="007A1D07"/>
    <w:rsid w:val="007A5B82"/>
    <w:rsid w:val="007B08D0"/>
    <w:rsid w:val="007B3A21"/>
    <w:rsid w:val="007C129A"/>
    <w:rsid w:val="007C155D"/>
    <w:rsid w:val="007C4204"/>
    <w:rsid w:val="007C678F"/>
    <w:rsid w:val="007D39C8"/>
    <w:rsid w:val="007D5090"/>
    <w:rsid w:val="007D5FF6"/>
    <w:rsid w:val="007E173E"/>
    <w:rsid w:val="007E1CC8"/>
    <w:rsid w:val="007E7698"/>
    <w:rsid w:val="007F63E2"/>
    <w:rsid w:val="007F7B58"/>
    <w:rsid w:val="00800B35"/>
    <w:rsid w:val="00804DF4"/>
    <w:rsid w:val="00807CBB"/>
    <w:rsid w:val="00814184"/>
    <w:rsid w:val="00814603"/>
    <w:rsid w:val="00814B1E"/>
    <w:rsid w:val="008204DC"/>
    <w:rsid w:val="00825C7F"/>
    <w:rsid w:val="008318DE"/>
    <w:rsid w:val="008323FE"/>
    <w:rsid w:val="0083580B"/>
    <w:rsid w:val="0084271F"/>
    <w:rsid w:val="008444C7"/>
    <w:rsid w:val="00844970"/>
    <w:rsid w:val="00851716"/>
    <w:rsid w:val="00854096"/>
    <w:rsid w:val="00856F40"/>
    <w:rsid w:val="00857656"/>
    <w:rsid w:val="00857BA7"/>
    <w:rsid w:val="00861442"/>
    <w:rsid w:val="0086418A"/>
    <w:rsid w:val="008706C4"/>
    <w:rsid w:val="00873081"/>
    <w:rsid w:val="00881224"/>
    <w:rsid w:val="00882E12"/>
    <w:rsid w:val="00886354"/>
    <w:rsid w:val="00890215"/>
    <w:rsid w:val="008911D0"/>
    <w:rsid w:val="0089254C"/>
    <w:rsid w:val="008A01AA"/>
    <w:rsid w:val="008A0CB1"/>
    <w:rsid w:val="008A5526"/>
    <w:rsid w:val="008A70AC"/>
    <w:rsid w:val="008B0648"/>
    <w:rsid w:val="008B28AA"/>
    <w:rsid w:val="008C0325"/>
    <w:rsid w:val="008C0B4E"/>
    <w:rsid w:val="008C3D51"/>
    <w:rsid w:val="008C5E93"/>
    <w:rsid w:val="008C7578"/>
    <w:rsid w:val="008D0C5F"/>
    <w:rsid w:val="008D1E5F"/>
    <w:rsid w:val="008E09A6"/>
    <w:rsid w:val="008E5065"/>
    <w:rsid w:val="008E5FC9"/>
    <w:rsid w:val="008F00E9"/>
    <w:rsid w:val="008F6A33"/>
    <w:rsid w:val="00903E4F"/>
    <w:rsid w:val="009104E0"/>
    <w:rsid w:val="009152B0"/>
    <w:rsid w:val="00923B27"/>
    <w:rsid w:val="009244AD"/>
    <w:rsid w:val="00926B93"/>
    <w:rsid w:val="00927830"/>
    <w:rsid w:val="009313AA"/>
    <w:rsid w:val="00931FE3"/>
    <w:rsid w:val="00941164"/>
    <w:rsid w:val="00942C2C"/>
    <w:rsid w:val="009558E3"/>
    <w:rsid w:val="00956B7C"/>
    <w:rsid w:val="00963163"/>
    <w:rsid w:val="00972CB3"/>
    <w:rsid w:val="00977B40"/>
    <w:rsid w:val="00982E1A"/>
    <w:rsid w:val="00983FED"/>
    <w:rsid w:val="00985450"/>
    <w:rsid w:val="00990ED3"/>
    <w:rsid w:val="0099142D"/>
    <w:rsid w:val="00992E64"/>
    <w:rsid w:val="00994212"/>
    <w:rsid w:val="00995011"/>
    <w:rsid w:val="00997762"/>
    <w:rsid w:val="009A240C"/>
    <w:rsid w:val="009A3755"/>
    <w:rsid w:val="009A51AD"/>
    <w:rsid w:val="009B095E"/>
    <w:rsid w:val="009B1F70"/>
    <w:rsid w:val="009C0101"/>
    <w:rsid w:val="009C487F"/>
    <w:rsid w:val="009C6C47"/>
    <w:rsid w:val="009D0935"/>
    <w:rsid w:val="009D0BCC"/>
    <w:rsid w:val="009D174E"/>
    <w:rsid w:val="009D209F"/>
    <w:rsid w:val="009D2B90"/>
    <w:rsid w:val="009E10FC"/>
    <w:rsid w:val="009E1DDD"/>
    <w:rsid w:val="009E2262"/>
    <w:rsid w:val="009E27F2"/>
    <w:rsid w:val="009F336A"/>
    <w:rsid w:val="009F4D15"/>
    <w:rsid w:val="00A03B60"/>
    <w:rsid w:val="00A067AF"/>
    <w:rsid w:val="00A1200C"/>
    <w:rsid w:val="00A145EA"/>
    <w:rsid w:val="00A157DB"/>
    <w:rsid w:val="00A2117F"/>
    <w:rsid w:val="00A30AE7"/>
    <w:rsid w:val="00A33291"/>
    <w:rsid w:val="00A35A80"/>
    <w:rsid w:val="00A567BB"/>
    <w:rsid w:val="00A6397B"/>
    <w:rsid w:val="00A6496F"/>
    <w:rsid w:val="00A656EF"/>
    <w:rsid w:val="00A667BE"/>
    <w:rsid w:val="00A677F0"/>
    <w:rsid w:val="00A70F54"/>
    <w:rsid w:val="00A7799C"/>
    <w:rsid w:val="00A80ED9"/>
    <w:rsid w:val="00A82E7E"/>
    <w:rsid w:val="00A83F75"/>
    <w:rsid w:val="00A845CD"/>
    <w:rsid w:val="00A846C9"/>
    <w:rsid w:val="00A86810"/>
    <w:rsid w:val="00A9456B"/>
    <w:rsid w:val="00A95E15"/>
    <w:rsid w:val="00A95E76"/>
    <w:rsid w:val="00AA49C4"/>
    <w:rsid w:val="00AA5403"/>
    <w:rsid w:val="00AA59BF"/>
    <w:rsid w:val="00AA5B48"/>
    <w:rsid w:val="00AB0683"/>
    <w:rsid w:val="00AB4814"/>
    <w:rsid w:val="00AB7097"/>
    <w:rsid w:val="00AC0434"/>
    <w:rsid w:val="00AC334E"/>
    <w:rsid w:val="00AC4989"/>
    <w:rsid w:val="00AC655A"/>
    <w:rsid w:val="00AD0316"/>
    <w:rsid w:val="00AD03E5"/>
    <w:rsid w:val="00AD7A28"/>
    <w:rsid w:val="00AE7B03"/>
    <w:rsid w:val="00AF3CFF"/>
    <w:rsid w:val="00AF74F0"/>
    <w:rsid w:val="00B03F2E"/>
    <w:rsid w:val="00B21BB2"/>
    <w:rsid w:val="00B2460B"/>
    <w:rsid w:val="00B25873"/>
    <w:rsid w:val="00B30AA7"/>
    <w:rsid w:val="00B333C3"/>
    <w:rsid w:val="00B336A8"/>
    <w:rsid w:val="00B34295"/>
    <w:rsid w:val="00B50E14"/>
    <w:rsid w:val="00B527D4"/>
    <w:rsid w:val="00B545EF"/>
    <w:rsid w:val="00B55C7C"/>
    <w:rsid w:val="00B561C2"/>
    <w:rsid w:val="00B65404"/>
    <w:rsid w:val="00B664A0"/>
    <w:rsid w:val="00B67415"/>
    <w:rsid w:val="00B76F43"/>
    <w:rsid w:val="00B804ED"/>
    <w:rsid w:val="00B829A1"/>
    <w:rsid w:val="00B86214"/>
    <w:rsid w:val="00B862F2"/>
    <w:rsid w:val="00B87349"/>
    <w:rsid w:val="00B92DE2"/>
    <w:rsid w:val="00B934A1"/>
    <w:rsid w:val="00BA31D6"/>
    <w:rsid w:val="00BA4A1D"/>
    <w:rsid w:val="00BA7D6B"/>
    <w:rsid w:val="00BB1114"/>
    <w:rsid w:val="00BB2F8C"/>
    <w:rsid w:val="00BB3B26"/>
    <w:rsid w:val="00BB3E2C"/>
    <w:rsid w:val="00BC4555"/>
    <w:rsid w:val="00BC708D"/>
    <w:rsid w:val="00BD0E42"/>
    <w:rsid w:val="00BD1C90"/>
    <w:rsid w:val="00BD6092"/>
    <w:rsid w:val="00BE4CFF"/>
    <w:rsid w:val="00BE7493"/>
    <w:rsid w:val="00BF490E"/>
    <w:rsid w:val="00BF5010"/>
    <w:rsid w:val="00BF528B"/>
    <w:rsid w:val="00BF529A"/>
    <w:rsid w:val="00BF6BC1"/>
    <w:rsid w:val="00C01D64"/>
    <w:rsid w:val="00C12D8A"/>
    <w:rsid w:val="00C17840"/>
    <w:rsid w:val="00C21C95"/>
    <w:rsid w:val="00C22F19"/>
    <w:rsid w:val="00C2335C"/>
    <w:rsid w:val="00C2645F"/>
    <w:rsid w:val="00C3022D"/>
    <w:rsid w:val="00C3125C"/>
    <w:rsid w:val="00C34AC4"/>
    <w:rsid w:val="00C35D7C"/>
    <w:rsid w:val="00C42712"/>
    <w:rsid w:val="00C442F0"/>
    <w:rsid w:val="00C465C4"/>
    <w:rsid w:val="00C53BFC"/>
    <w:rsid w:val="00C5617E"/>
    <w:rsid w:val="00C56CBC"/>
    <w:rsid w:val="00C62C86"/>
    <w:rsid w:val="00C7309A"/>
    <w:rsid w:val="00C77BB5"/>
    <w:rsid w:val="00C84136"/>
    <w:rsid w:val="00C859E7"/>
    <w:rsid w:val="00C878D1"/>
    <w:rsid w:val="00C90FD0"/>
    <w:rsid w:val="00C95B48"/>
    <w:rsid w:val="00CA3FD2"/>
    <w:rsid w:val="00CB0B87"/>
    <w:rsid w:val="00CB423F"/>
    <w:rsid w:val="00CB5B68"/>
    <w:rsid w:val="00CB5F05"/>
    <w:rsid w:val="00CB6022"/>
    <w:rsid w:val="00CB7098"/>
    <w:rsid w:val="00CC14BD"/>
    <w:rsid w:val="00CC2111"/>
    <w:rsid w:val="00CC2A39"/>
    <w:rsid w:val="00CC3715"/>
    <w:rsid w:val="00CC50FC"/>
    <w:rsid w:val="00CC6341"/>
    <w:rsid w:val="00CD0523"/>
    <w:rsid w:val="00CD0FE6"/>
    <w:rsid w:val="00CD759A"/>
    <w:rsid w:val="00CE3733"/>
    <w:rsid w:val="00CE3C68"/>
    <w:rsid w:val="00CE4975"/>
    <w:rsid w:val="00CE5A08"/>
    <w:rsid w:val="00CE6DD4"/>
    <w:rsid w:val="00CF06F2"/>
    <w:rsid w:val="00CF3B1F"/>
    <w:rsid w:val="00CF50A3"/>
    <w:rsid w:val="00D10354"/>
    <w:rsid w:val="00D136A9"/>
    <w:rsid w:val="00D17672"/>
    <w:rsid w:val="00D20414"/>
    <w:rsid w:val="00D2624E"/>
    <w:rsid w:val="00D3092E"/>
    <w:rsid w:val="00D33058"/>
    <w:rsid w:val="00D33720"/>
    <w:rsid w:val="00D410D6"/>
    <w:rsid w:val="00D42EFA"/>
    <w:rsid w:val="00D4615A"/>
    <w:rsid w:val="00D5223D"/>
    <w:rsid w:val="00D52518"/>
    <w:rsid w:val="00D5721A"/>
    <w:rsid w:val="00D6068E"/>
    <w:rsid w:val="00D6069D"/>
    <w:rsid w:val="00D60D40"/>
    <w:rsid w:val="00D61D35"/>
    <w:rsid w:val="00D635E9"/>
    <w:rsid w:val="00D643E7"/>
    <w:rsid w:val="00D6587B"/>
    <w:rsid w:val="00D71361"/>
    <w:rsid w:val="00D717F2"/>
    <w:rsid w:val="00D74E14"/>
    <w:rsid w:val="00D75973"/>
    <w:rsid w:val="00D80A1A"/>
    <w:rsid w:val="00D81F35"/>
    <w:rsid w:val="00D82BEF"/>
    <w:rsid w:val="00D8661D"/>
    <w:rsid w:val="00D90D5E"/>
    <w:rsid w:val="00D9204E"/>
    <w:rsid w:val="00D93F09"/>
    <w:rsid w:val="00DA0BBD"/>
    <w:rsid w:val="00DB1442"/>
    <w:rsid w:val="00DB1963"/>
    <w:rsid w:val="00DB2D65"/>
    <w:rsid w:val="00DB2F0E"/>
    <w:rsid w:val="00DB4A3C"/>
    <w:rsid w:val="00DB5F7A"/>
    <w:rsid w:val="00DB7834"/>
    <w:rsid w:val="00DC2FC0"/>
    <w:rsid w:val="00DE0662"/>
    <w:rsid w:val="00DE07CD"/>
    <w:rsid w:val="00DE0C7A"/>
    <w:rsid w:val="00DE2505"/>
    <w:rsid w:val="00DE26E9"/>
    <w:rsid w:val="00DF78E7"/>
    <w:rsid w:val="00E0265A"/>
    <w:rsid w:val="00E038DF"/>
    <w:rsid w:val="00E03E2B"/>
    <w:rsid w:val="00E10ABD"/>
    <w:rsid w:val="00E12197"/>
    <w:rsid w:val="00E131FE"/>
    <w:rsid w:val="00E2276B"/>
    <w:rsid w:val="00E25512"/>
    <w:rsid w:val="00E3087E"/>
    <w:rsid w:val="00E30CDD"/>
    <w:rsid w:val="00E3588B"/>
    <w:rsid w:val="00E37428"/>
    <w:rsid w:val="00E40600"/>
    <w:rsid w:val="00E40B8C"/>
    <w:rsid w:val="00E43D71"/>
    <w:rsid w:val="00E50586"/>
    <w:rsid w:val="00E54BFD"/>
    <w:rsid w:val="00E638D7"/>
    <w:rsid w:val="00E67BAA"/>
    <w:rsid w:val="00E71D2C"/>
    <w:rsid w:val="00E76D0C"/>
    <w:rsid w:val="00E774BF"/>
    <w:rsid w:val="00E82000"/>
    <w:rsid w:val="00E84438"/>
    <w:rsid w:val="00E85751"/>
    <w:rsid w:val="00E94B68"/>
    <w:rsid w:val="00E95561"/>
    <w:rsid w:val="00E96685"/>
    <w:rsid w:val="00EA49A2"/>
    <w:rsid w:val="00EB0B00"/>
    <w:rsid w:val="00EB201B"/>
    <w:rsid w:val="00EB2983"/>
    <w:rsid w:val="00EB5FBD"/>
    <w:rsid w:val="00ED200B"/>
    <w:rsid w:val="00ED32F8"/>
    <w:rsid w:val="00ED7BCD"/>
    <w:rsid w:val="00EE01CD"/>
    <w:rsid w:val="00EE030B"/>
    <w:rsid w:val="00EE3F06"/>
    <w:rsid w:val="00EE530D"/>
    <w:rsid w:val="00EE5F4C"/>
    <w:rsid w:val="00EF32D2"/>
    <w:rsid w:val="00EF3FDF"/>
    <w:rsid w:val="00EF4225"/>
    <w:rsid w:val="00EF641E"/>
    <w:rsid w:val="00F045AB"/>
    <w:rsid w:val="00F07FAC"/>
    <w:rsid w:val="00F146E7"/>
    <w:rsid w:val="00F36146"/>
    <w:rsid w:val="00F36FAC"/>
    <w:rsid w:val="00F37F27"/>
    <w:rsid w:val="00F42B94"/>
    <w:rsid w:val="00F44551"/>
    <w:rsid w:val="00F447AB"/>
    <w:rsid w:val="00F447DD"/>
    <w:rsid w:val="00F45E47"/>
    <w:rsid w:val="00F46E87"/>
    <w:rsid w:val="00F470D1"/>
    <w:rsid w:val="00F47306"/>
    <w:rsid w:val="00F51509"/>
    <w:rsid w:val="00F60BDB"/>
    <w:rsid w:val="00F60F5F"/>
    <w:rsid w:val="00F716D7"/>
    <w:rsid w:val="00F73E73"/>
    <w:rsid w:val="00F83798"/>
    <w:rsid w:val="00F84F79"/>
    <w:rsid w:val="00F87823"/>
    <w:rsid w:val="00F91E11"/>
    <w:rsid w:val="00F94263"/>
    <w:rsid w:val="00F963FC"/>
    <w:rsid w:val="00FA01B5"/>
    <w:rsid w:val="00FA196F"/>
    <w:rsid w:val="00FA253E"/>
    <w:rsid w:val="00FA2ACB"/>
    <w:rsid w:val="00FA31AE"/>
    <w:rsid w:val="00FB32DD"/>
    <w:rsid w:val="00FB599C"/>
    <w:rsid w:val="00FB7E7E"/>
    <w:rsid w:val="00FC07D9"/>
    <w:rsid w:val="00FC2DD7"/>
    <w:rsid w:val="00FC4CED"/>
    <w:rsid w:val="00FD2568"/>
    <w:rsid w:val="00FD527D"/>
    <w:rsid w:val="00FD6EFE"/>
    <w:rsid w:val="00FE6AAF"/>
    <w:rsid w:val="00FF1564"/>
    <w:rsid w:val="00FF5422"/>
    <w:rsid w:val="00FF651F"/>
    <w:rsid w:val="00FF683A"/>
    <w:rsid w:val="1B61D5AD"/>
    <w:rsid w:val="24E03721"/>
    <w:rsid w:val="546BCD73"/>
    <w:rsid w:val="7148D088"/>
    <w:rsid w:val="794B2B99"/>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8BECA"/>
  <w15:docId w15:val="{3138D120-D366-4C75-8C77-89663C16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81B"/>
    <w:pPr>
      <w:spacing w:line="288" w:lineRule="auto"/>
      <w:jc w:val="both"/>
    </w:pPr>
    <w:rPr>
      <w:rFonts w:eastAsia="PMingLiU"/>
      <w:color w:val="262626"/>
      <w:szCs w:val="24"/>
      <w:lang w:val="en-US" w:eastAsia="en-US"/>
    </w:rPr>
  </w:style>
  <w:style w:type="paragraph" w:styleId="Heading1">
    <w:name w:val="heading 1"/>
    <w:basedOn w:val="Normal"/>
    <w:next w:val="Normal"/>
    <w:link w:val="Heading1Char"/>
    <w:uiPriority w:val="9"/>
    <w:qFormat/>
    <w:rsid w:val="00A6397B"/>
    <w:pPr>
      <w:outlineLvl w:val="0"/>
    </w:pPr>
    <w:rPr>
      <w:b/>
      <w:caps/>
      <w:szCs w:val="20"/>
    </w:rPr>
  </w:style>
  <w:style w:type="paragraph" w:styleId="Heading2">
    <w:name w:val="heading 2"/>
    <w:basedOn w:val="Normal"/>
    <w:next w:val="Normal"/>
    <w:link w:val="Heading2Char"/>
    <w:uiPriority w:val="9"/>
    <w:unhideWhenUsed/>
    <w:qFormat/>
    <w:rsid w:val="00552997"/>
    <w:pPr>
      <w:keepNext/>
      <w:keepLines/>
      <w:jc w:val="left"/>
      <w:outlineLvl w:val="1"/>
    </w:pPr>
    <w:rPr>
      <w:b/>
      <w:color w:val="auto"/>
      <w:sz w:val="24"/>
      <w:szCs w:val="26"/>
    </w:rPr>
  </w:style>
  <w:style w:type="paragraph" w:styleId="Heading3">
    <w:name w:val="heading 3"/>
    <w:basedOn w:val="Normal"/>
    <w:next w:val="Normal"/>
    <w:link w:val="Heading3Char"/>
    <w:unhideWhenUsed/>
    <w:qFormat/>
    <w:rsid w:val="00404901"/>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E7493"/>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9539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126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6126D"/>
    <w:rPr>
      <w:rFonts w:ascii="Tahoma" w:hAnsi="Tahoma" w:cs="Tahoma"/>
      <w:sz w:val="16"/>
      <w:szCs w:val="16"/>
    </w:rPr>
  </w:style>
  <w:style w:type="paragraph" w:styleId="Header">
    <w:name w:val="header"/>
    <w:aliases w:val="*Header,hd,he"/>
    <w:basedOn w:val="Normal"/>
    <w:link w:val="HeaderChar"/>
    <w:uiPriority w:val="99"/>
    <w:unhideWhenUsed/>
    <w:rsid w:val="0076126D"/>
    <w:pPr>
      <w:tabs>
        <w:tab w:val="center" w:pos="4513"/>
        <w:tab w:val="right" w:pos="9026"/>
      </w:tabs>
      <w:spacing w:line="240" w:lineRule="auto"/>
    </w:pPr>
  </w:style>
  <w:style w:type="character" w:customStyle="1" w:styleId="HeaderChar">
    <w:name w:val="Header Char"/>
    <w:aliases w:val="*Header Char,hd Char,he Char"/>
    <w:basedOn w:val="DefaultParagraphFont"/>
    <w:link w:val="Header"/>
    <w:uiPriority w:val="99"/>
    <w:rsid w:val="0076126D"/>
  </w:style>
  <w:style w:type="paragraph" w:styleId="Footer">
    <w:name w:val="footer"/>
    <w:basedOn w:val="Normal"/>
    <w:link w:val="FooterChar"/>
    <w:uiPriority w:val="99"/>
    <w:unhideWhenUsed/>
    <w:rsid w:val="0076126D"/>
    <w:pPr>
      <w:tabs>
        <w:tab w:val="center" w:pos="4513"/>
        <w:tab w:val="right" w:pos="9026"/>
      </w:tabs>
      <w:spacing w:line="240" w:lineRule="auto"/>
    </w:pPr>
  </w:style>
  <w:style w:type="character" w:customStyle="1" w:styleId="FooterChar">
    <w:name w:val="Footer Char"/>
    <w:basedOn w:val="DefaultParagraphFont"/>
    <w:link w:val="Footer"/>
    <w:uiPriority w:val="99"/>
    <w:rsid w:val="0076126D"/>
  </w:style>
  <w:style w:type="paragraph" w:customStyle="1" w:styleId="BasicParagraph">
    <w:name w:val="[Basic Paragraph]"/>
    <w:basedOn w:val="Normal"/>
    <w:uiPriority w:val="99"/>
    <w:rsid w:val="0076126D"/>
    <w:pPr>
      <w:autoSpaceDE w:val="0"/>
      <w:autoSpaceDN w:val="0"/>
      <w:adjustRightInd w:val="0"/>
      <w:textAlignment w:val="center"/>
    </w:pPr>
    <w:rPr>
      <w:rFonts w:ascii="Minion Pro" w:hAnsi="Minion Pro" w:cs="Minion Pro"/>
      <w:color w:val="000000"/>
      <w:sz w:val="24"/>
      <w:lang w:val="en-GB"/>
    </w:rPr>
  </w:style>
  <w:style w:type="table" w:styleId="TableGrid">
    <w:name w:val="Table Grid"/>
    <w:basedOn w:val="TableNormal"/>
    <w:uiPriority w:val="59"/>
    <w:rsid w:val="00825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A6397B"/>
    <w:rPr>
      <w:rFonts w:eastAsia="PMingLiU"/>
      <w:b/>
      <w:caps/>
      <w:color w:val="262626"/>
      <w:sz w:val="20"/>
      <w:szCs w:val="20"/>
      <w:lang w:val="en-US"/>
    </w:rPr>
  </w:style>
  <w:style w:type="paragraph" w:styleId="NoSpacing">
    <w:name w:val="No Spacing"/>
    <w:uiPriority w:val="1"/>
    <w:qFormat/>
    <w:rsid w:val="00BF490E"/>
    <w:pPr>
      <w:jc w:val="both"/>
    </w:pPr>
    <w:rPr>
      <w:rFonts w:ascii="Arial" w:eastAsia="PMingLiU" w:hAnsi="Arial"/>
      <w:color w:val="262626"/>
      <w:szCs w:val="24"/>
      <w:lang w:val="en-US" w:eastAsia="en-US"/>
    </w:rPr>
  </w:style>
  <w:style w:type="character" w:customStyle="1" w:styleId="Heading2Char">
    <w:name w:val="Heading 2 Char"/>
    <w:link w:val="Heading2"/>
    <w:uiPriority w:val="9"/>
    <w:rsid w:val="00552997"/>
    <w:rPr>
      <w:rFonts w:eastAsia="PMingLiU"/>
      <w:b/>
      <w:sz w:val="24"/>
      <w:szCs w:val="26"/>
      <w:lang w:val="en-US" w:eastAsia="en-US"/>
    </w:rPr>
  </w:style>
  <w:style w:type="character" w:styleId="Hyperlink">
    <w:name w:val="Hyperlink"/>
    <w:basedOn w:val="DefaultParagraphFont"/>
    <w:uiPriority w:val="99"/>
    <w:rsid w:val="00C7309A"/>
    <w:rPr>
      <w:color w:val="0000FF" w:themeColor="hyperlink"/>
      <w:u w:val="single"/>
    </w:rPr>
  </w:style>
  <w:style w:type="paragraph" w:styleId="TOCHeading">
    <w:name w:val="TOC Heading"/>
    <w:basedOn w:val="Heading1"/>
    <w:next w:val="Normal"/>
    <w:uiPriority w:val="39"/>
    <w:semiHidden/>
    <w:unhideWhenUsed/>
    <w:qFormat/>
    <w:rsid w:val="00C7309A"/>
    <w:pPr>
      <w:keepNext/>
      <w:keepLines/>
      <w:spacing w:before="480" w:line="276" w:lineRule="auto"/>
      <w:jc w:val="left"/>
      <w:outlineLvl w:val="9"/>
    </w:pPr>
    <w:rPr>
      <w:rFonts w:asciiTheme="majorHAnsi" w:eastAsiaTheme="majorEastAsia" w:hAnsiTheme="majorHAnsi" w:cstheme="majorBidi"/>
      <w:bCs/>
      <w:caps w:val="0"/>
      <w:color w:val="365F91" w:themeColor="accent1" w:themeShade="BF"/>
      <w:sz w:val="28"/>
      <w:szCs w:val="28"/>
      <w:lang w:eastAsia="ja-JP"/>
    </w:rPr>
  </w:style>
  <w:style w:type="paragraph" w:styleId="TOC1">
    <w:name w:val="toc 1"/>
    <w:basedOn w:val="Normal"/>
    <w:next w:val="Normal"/>
    <w:autoRedefine/>
    <w:uiPriority w:val="39"/>
    <w:qFormat/>
    <w:rsid w:val="00F60F5F"/>
    <w:pPr>
      <w:spacing w:after="100" w:line="312" w:lineRule="auto"/>
    </w:pPr>
    <w:rPr>
      <w:rFonts w:asciiTheme="minorHAnsi" w:eastAsia="Times" w:hAnsiTheme="minorHAnsi"/>
      <w:color w:val="auto"/>
      <w:szCs w:val="20"/>
    </w:rPr>
  </w:style>
  <w:style w:type="character" w:customStyle="1" w:styleId="Heading5Char">
    <w:name w:val="Heading 5 Char"/>
    <w:basedOn w:val="DefaultParagraphFont"/>
    <w:link w:val="Heading5"/>
    <w:rsid w:val="00BE7493"/>
    <w:rPr>
      <w:rFonts w:asciiTheme="majorHAnsi" w:eastAsiaTheme="majorEastAsia" w:hAnsiTheme="majorHAnsi" w:cstheme="majorBidi"/>
      <w:color w:val="243F60" w:themeColor="accent1" w:themeShade="7F"/>
      <w:szCs w:val="24"/>
      <w:lang w:val="en-US" w:eastAsia="en-US"/>
    </w:rPr>
  </w:style>
  <w:style w:type="paragraph" w:styleId="TOC2">
    <w:name w:val="toc 2"/>
    <w:basedOn w:val="Normal"/>
    <w:next w:val="Normal"/>
    <w:autoRedefine/>
    <w:uiPriority w:val="39"/>
    <w:unhideWhenUsed/>
    <w:qFormat/>
    <w:rsid w:val="0054139F"/>
    <w:pPr>
      <w:tabs>
        <w:tab w:val="left" w:pos="660"/>
        <w:tab w:val="right" w:leader="dot" w:pos="9628"/>
      </w:tabs>
      <w:spacing w:after="100"/>
      <w:ind w:left="200"/>
    </w:pPr>
  </w:style>
  <w:style w:type="paragraph" w:styleId="ListParagraph">
    <w:name w:val="List Paragraph"/>
    <w:basedOn w:val="Normal"/>
    <w:uiPriority w:val="34"/>
    <w:qFormat/>
    <w:rsid w:val="00BE7493"/>
    <w:pPr>
      <w:ind w:left="720"/>
      <w:contextualSpacing/>
    </w:pPr>
  </w:style>
  <w:style w:type="paragraph" w:customStyle="1" w:styleId="Level3">
    <w:name w:val="Level3"/>
    <w:basedOn w:val="Normal"/>
    <w:next w:val="Normal"/>
    <w:rsid w:val="00C878D1"/>
    <w:pPr>
      <w:tabs>
        <w:tab w:val="left" w:pos="992"/>
        <w:tab w:val="left" w:pos="2268"/>
        <w:tab w:val="left" w:pos="3686"/>
      </w:tabs>
      <w:spacing w:before="140" w:after="140" w:line="300" w:lineRule="atLeast"/>
      <w:ind w:left="2268" w:hanging="1276"/>
    </w:pPr>
    <w:rPr>
      <w:rFonts w:ascii="Times New Roman" w:eastAsia="Times New Roman" w:hAnsi="Times New Roman"/>
      <w:color w:val="auto"/>
      <w:sz w:val="28"/>
      <w:szCs w:val="20"/>
      <w:lang w:val="en-ZA"/>
    </w:rPr>
  </w:style>
  <w:style w:type="paragraph" w:customStyle="1" w:styleId="level1-T">
    <w:name w:val="level1-T"/>
    <w:basedOn w:val="Normal"/>
    <w:next w:val="Normal"/>
    <w:rsid w:val="00C878D1"/>
    <w:pPr>
      <w:spacing w:before="140" w:after="140" w:line="300" w:lineRule="atLeast"/>
      <w:ind w:left="992"/>
    </w:pPr>
    <w:rPr>
      <w:rFonts w:ascii="Times New Roman" w:eastAsia="Times New Roman" w:hAnsi="Times New Roman"/>
      <w:color w:val="auto"/>
      <w:sz w:val="28"/>
      <w:szCs w:val="20"/>
      <w:lang w:val="en-ZA"/>
    </w:rPr>
  </w:style>
  <w:style w:type="paragraph" w:styleId="FootnoteText">
    <w:name w:val="footnote text"/>
    <w:basedOn w:val="Normal"/>
    <w:link w:val="FootnoteTextChar"/>
    <w:semiHidden/>
    <w:rsid w:val="00E131FE"/>
    <w:pPr>
      <w:spacing w:before="20" w:line="240" w:lineRule="auto"/>
      <w:jc w:val="left"/>
    </w:pPr>
    <w:rPr>
      <w:rFonts w:ascii="Times New Roman" w:eastAsia="Times New Roman" w:hAnsi="Times New Roman"/>
      <w:color w:val="auto"/>
      <w:szCs w:val="20"/>
      <w:lang w:val="en-GB"/>
    </w:rPr>
  </w:style>
  <w:style w:type="character" w:customStyle="1" w:styleId="FootnoteTextChar">
    <w:name w:val="Footnote Text Char"/>
    <w:basedOn w:val="DefaultParagraphFont"/>
    <w:link w:val="FootnoteText"/>
    <w:semiHidden/>
    <w:rsid w:val="00E131FE"/>
    <w:rPr>
      <w:rFonts w:ascii="Times New Roman" w:eastAsia="Times New Roman" w:hAnsi="Times New Roman"/>
      <w:lang w:val="en-GB" w:eastAsia="en-US"/>
    </w:rPr>
  </w:style>
  <w:style w:type="character" w:styleId="FootnoteReference">
    <w:name w:val="footnote reference"/>
    <w:semiHidden/>
    <w:rsid w:val="00E131FE"/>
    <w:rPr>
      <w:rFonts w:ascii="Times New Roman" w:hAnsi="Times New Roman"/>
      <w:sz w:val="22"/>
      <w:vertAlign w:val="baseline"/>
    </w:rPr>
  </w:style>
  <w:style w:type="paragraph" w:customStyle="1" w:styleId="Level4">
    <w:name w:val="Level4"/>
    <w:basedOn w:val="Normal"/>
    <w:next w:val="Normal"/>
    <w:rsid w:val="00234E83"/>
    <w:pPr>
      <w:tabs>
        <w:tab w:val="left" w:pos="2268"/>
      </w:tabs>
      <w:spacing w:before="140" w:after="140" w:line="300" w:lineRule="atLeast"/>
      <w:ind w:left="2268" w:hanging="1276"/>
    </w:pPr>
    <w:rPr>
      <w:rFonts w:ascii="Times New Roman" w:eastAsia="Times New Roman" w:hAnsi="Times New Roman"/>
      <w:color w:val="auto"/>
      <w:sz w:val="28"/>
      <w:szCs w:val="20"/>
      <w:lang w:val="en-ZA"/>
    </w:rPr>
  </w:style>
  <w:style w:type="character" w:customStyle="1" w:styleId="Heading3Char">
    <w:name w:val="Heading 3 Char"/>
    <w:basedOn w:val="DefaultParagraphFont"/>
    <w:link w:val="Heading3"/>
    <w:rsid w:val="00404901"/>
    <w:rPr>
      <w:rFonts w:asciiTheme="majorHAnsi" w:eastAsiaTheme="majorEastAsia" w:hAnsiTheme="majorHAnsi" w:cstheme="majorBidi"/>
      <w:b/>
      <w:bCs/>
      <w:color w:val="4F81BD" w:themeColor="accent1"/>
      <w:szCs w:val="24"/>
      <w:lang w:val="en-US" w:eastAsia="en-US"/>
    </w:rPr>
  </w:style>
  <w:style w:type="character" w:customStyle="1" w:styleId="Heading7Char">
    <w:name w:val="Heading 7 Char"/>
    <w:basedOn w:val="DefaultParagraphFont"/>
    <w:link w:val="Heading7"/>
    <w:rsid w:val="00395394"/>
    <w:rPr>
      <w:rFonts w:asciiTheme="majorHAnsi" w:eastAsiaTheme="majorEastAsia" w:hAnsiTheme="majorHAnsi" w:cstheme="majorBidi"/>
      <w:i/>
      <w:iCs/>
      <w:color w:val="404040" w:themeColor="text1" w:themeTint="BF"/>
      <w:szCs w:val="24"/>
      <w:lang w:val="en-US" w:eastAsia="en-US"/>
    </w:rPr>
  </w:style>
  <w:style w:type="paragraph" w:styleId="TOC3">
    <w:name w:val="toc 3"/>
    <w:basedOn w:val="Normal"/>
    <w:next w:val="Normal"/>
    <w:autoRedefine/>
    <w:uiPriority w:val="39"/>
    <w:unhideWhenUsed/>
    <w:qFormat/>
    <w:rsid w:val="00504480"/>
    <w:pPr>
      <w:spacing w:after="100" w:line="276" w:lineRule="auto"/>
      <w:ind w:left="440"/>
      <w:jc w:val="left"/>
    </w:pPr>
    <w:rPr>
      <w:rFonts w:asciiTheme="minorHAnsi" w:eastAsiaTheme="minorEastAsia" w:hAnsiTheme="minorHAnsi" w:cstheme="minorBidi"/>
      <w:color w:val="auto"/>
      <w:sz w:val="22"/>
      <w:szCs w:val="22"/>
      <w:lang w:eastAsia="ja-JP"/>
    </w:rPr>
  </w:style>
  <w:style w:type="numbering" w:customStyle="1" w:styleId="Style1">
    <w:name w:val="Style1"/>
    <w:uiPriority w:val="99"/>
    <w:rsid w:val="007D5090"/>
    <w:pPr>
      <w:numPr>
        <w:numId w:val="14"/>
      </w:numPr>
    </w:pPr>
  </w:style>
  <w:style w:type="paragraph" w:customStyle="1" w:styleId="Default">
    <w:name w:val="Default"/>
    <w:rsid w:val="00903E4F"/>
    <w:pPr>
      <w:autoSpaceDE w:val="0"/>
      <w:autoSpaceDN w:val="0"/>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uiPriority w:val="99"/>
    <w:semiHidden/>
    <w:unhideWhenUsed/>
    <w:rsid w:val="00B50E14"/>
    <w:rPr>
      <w:sz w:val="16"/>
      <w:szCs w:val="16"/>
    </w:rPr>
  </w:style>
  <w:style w:type="paragraph" w:styleId="CommentText">
    <w:name w:val="annotation text"/>
    <w:basedOn w:val="Normal"/>
    <w:link w:val="CommentTextChar"/>
    <w:uiPriority w:val="99"/>
    <w:unhideWhenUsed/>
    <w:rsid w:val="00B50E14"/>
    <w:pPr>
      <w:spacing w:line="240" w:lineRule="auto"/>
    </w:pPr>
    <w:rPr>
      <w:szCs w:val="20"/>
    </w:rPr>
  </w:style>
  <w:style w:type="character" w:customStyle="1" w:styleId="CommentTextChar">
    <w:name w:val="Comment Text Char"/>
    <w:basedOn w:val="DefaultParagraphFont"/>
    <w:link w:val="CommentText"/>
    <w:uiPriority w:val="99"/>
    <w:rsid w:val="00B50E14"/>
    <w:rPr>
      <w:rFonts w:eastAsia="PMingLiU"/>
      <w:color w:val="262626"/>
      <w:lang w:val="en-US" w:eastAsia="en-US"/>
    </w:rPr>
  </w:style>
  <w:style w:type="paragraph" w:styleId="CommentSubject">
    <w:name w:val="annotation subject"/>
    <w:basedOn w:val="CommentText"/>
    <w:next w:val="CommentText"/>
    <w:link w:val="CommentSubjectChar"/>
    <w:uiPriority w:val="99"/>
    <w:semiHidden/>
    <w:unhideWhenUsed/>
    <w:rsid w:val="00B50E14"/>
    <w:rPr>
      <w:b/>
      <w:bCs/>
    </w:rPr>
  </w:style>
  <w:style w:type="character" w:customStyle="1" w:styleId="CommentSubjectChar">
    <w:name w:val="Comment Subject Char"/>
    <w:basedOn w:val="CommentTextChar"/>
    <w:link w:val="CommentSubject"/>
    <w:uiPriority w:val="99"/>
    <w:semiHidden/>
    <w:rsid w:val="00B50E14"/>
    <w:rPr>
      <w:rFonts w:eastAsia="PMingLiU"/>
      <w:b/>
      <w:bCs/>
      <w:color w:val="262626"/>
      <w:lang w:val="en-US" w:eastAsia="en-US"/>
    </w:rPr>
  </w:style>
  <w:style w:type="paragraph" w:styleId="Revision">
    <w:name w:val="Revision"/>
    <w:hidden/>
    <w:uiPriority w:val="99"/>
    <w:semiHidden/>
    <w:rsid w:val="00D10354"/>
    <w:rPr>
      <w:rFonts w:eastAsia="PMingLiU"/>
      <w:color w:val="262626"/>
      <w:szCs w:val="24"/>
      <w:lang w:val="en-US" w:eastAsia="en-US"/>
    </w:rPr>
  </w:style>
  <w:style w:type="character" w:styleId="Mention">
    <w:name w:val="Mention"/>
    <w:basedOn w:val="DefaultParagraphFont"/>
    <w:uiPriority w:val="99"/>
    <w:unhideWhenUsed/>
    <w:rsid w:val="0029775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135812">
      <w:bodyDiv w:val="1"/>
      <w:marLeft w:val="0"/>
      <w:marRight w:val="0"/>
      <w:marTop w:val="0"/>
      <w:marBottom w:val="0"/>
      <w:divBdr>
        <w:top w:val="none" w:sz="0" w:space="0" w:color="auto"/>
        <w:left w:val="none" w:sz="0" w:space="0" w:color="auto"/>
        <w:bottom w:val="none" w:sz="0" w:space="0" w:color="auto"/>
        <w:right w:val="none" w:sz="0" w:space="0" w:color="auto"/>
      </w:divBdr>
    </w:div>
    <w:div w:id="1412895320">
      <w:bodyDiv w:val="1"/>
      <w:marLeft w:val="0"/>
      <w:marRight w:val="0"/>
      <w:marTop w:val="0"/>
      <w:marBottom w:val="0"/>
      <w:divBdr>
        <w:top w:val="none" w:sz="0" w:space="0" w:color="auto"/>
        <w:left w:val="none" w:sz="0" w:space="0" w:color="auto"/>
        <w:bottom w:val="none" w:sz="0" w:space="0" w:color="auto"/>
        <w:right w:val="none" w:sz="0" w:space="0" w:color="auto"/>
      </w:divBdr>
    </w:div>
    <w:div w:id="1717578586">
      <w:bodyDiv w:val="1"/>
      <w:marLeft w:val="0"/>
      <w:marRight w:val="0"/>
      <w:marTop w:val="0"/>
      <w:marBottom w:val="0"/>
      <w:divBdr>
        <w:top w:val="none" w:sz="0" w:space="0" w:color="auto"/>
        <w:left w:val="none" w:sz="0" w:space="0" w:color="auto"/>
        <w:bottom w:val="none" w:sz="0" w:space="0" w:color="auto"/>
        <w:right w:val="none" w:sz="0" w:space="0" w:color="auto"/>
      </w:divBdr>
    </w:div>
    <w:div w:id="1910076016">
      <w:bodyDiv w:val="1"/>
      <w:marLeft w:val="0"/>
      <w:marRight w:val="0"/>
      <w:marTop w:val="0"/>
      <w:marBottom w:val="0"/>
      <w:divBdr>
        <w:top w:val="none" w:sz="0" w:space="0" w:color="auto"/>
        <w:left w:val="none" w:sz="0" w:space="0" w:color="auto"/>
        <w:bottom w:val="none" w:sz="0" w:space="0" w:color="auto"/>
        <w:right w:val="none" w:sz="0" w:space="0" w:color="auto"/>
      </w:divBdr>
    </w:div>
    <w:div w:id="213039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bogom\Documents\Document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FA340799C91E4388329C1B20D46549" ma:contentTypeVersion="4" ma:contentTypeDescription="Create a new document." ma:contentTypeScope="" ma:versionID="86a8b8aeee9ca3820a05aabc4e4e4868">
  <xsd:schema xmlns:xsd="http://www.w3.org/2001/XMLSchema" xmlns:xs="http://www.w3.org/2001/XMLSchema" xmlns:p="http://schemas.microsoft.com/office/2006/metadata/properties" xmlns:ns2="8241b936-fb3a-4ba5-99f2-dcaf6ca33fcd" targetNamespace="http://schemas.microsoft.com/office/2006/metadata/properties" ma:root="true" ma:fieldsID="258726ad85d0e46cbfbce3987724d29d" ns2:_="">
    <xsd:import namespace="8241b936-fb3a-4ba5-99f2-dcaf6ca33f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b936-fb3a-4ba5-99f2-dcaf6ca33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AA783-56AA-49D2-BFD7-870159F66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b936-fb3a-4ba5-99f2-dcaf6ca33f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6B18CA-691C-4F85-A490-880661D47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C1E4E4-19D7-4CF0-A048-27B00E63F129}">
  <ds:schemaRefs>
    <ds:schemaRef ds:uri="http://schemas.openxmlformats.org/officeDocument/2006/bibliography"/>
  </ds:schemaRefs>
</ds:datastoreItem>
</file>

<file path=customXml/itemProps4.xml><?xml version="1.0" encoding="utf-8"?>
<ds:datastoreItem xmlns:ds="http://schemas.openxmlformats.org/officeDocument/2006/customXml" ds:itemID="{ACC88C3E-239F-4F78-A116-BB26977B4F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Document3</Template>
  <TotalTime>1</TotalTime>
  <Pages>8</Pages>
  <Words>2282</Words>
  <Characters>11958</Characters>
  <Application>Microsoft Office Word</Application>
  <DocSecurity>0</DocSecurity>
  <Lines>306</Lines>
  <Paragraphs>171</Paragraphs>
  <ScaleCrop>false</ScaleCrop>
  <Company>JSE Limited</Company>
  <LinksUpToDate>false</LinksUpToDate>
  <CharactersWithSpaces>14069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JSEUser</dc:creator>
  <cp:keywords/>
  <cp:lastModifiedBy>Vaishali Jeebodh</cp:lastModifiedBy>
  <cp:revision>3</cp:revision>
  <cp:lastPrinted>2024-10-23T21:48:00Z</cp:lastPrinted>
  <dcterms:created xsi:type="dcterms:W3CDTF">2025-12-10T15:05:00Z</dcterms:created>
  <dcterms:modified xsi:type="dcterms:W3CDTF">2025-12-10T15:05:00Z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d8a90e-c522-4829-9625-db8c70f8b095_Enabled">
    <vt:lpwstr>true</vt:lpwstr>
  </property>
  <property fmtid="{D5CDD505-2E9C-101B-9397-08002B2CF9AE}" pid="3" name="MSIP_Label_66d8a90e-c522-4829-9625-db8c70f8b095_SetDate">
    <vt:lpwstr>2021-09-01T15:47:45Z</vt:lpwstr>
  </property>
  <property fmtid="{D5CDD505-2E9C-101B-9397-08002B2CF9AE}" pid="4" name="MSIP_Label_66d8a90e-c522-4829-9625-db8c70f8b095_Method">
    <vt:lpwstr>Standard</vt:lpwstr>
  </property>
  <property fmtid="{D5CDD505-2E9C-101B-9397-08002B2CF9AE}" pid="5" name="MSIP_Label_66d8a90e-c522-4829-9625-db8c70f8b095_Name">
    <vt:lpwstr>Public</vt:lpwstr>
  </property>
  <property fmtid="{D5CDD505-2E9C-101B-9397-08002B2CF9AE}" pid="6" name="MSIP_Label_66d8a90e-c522-4829-9625-db8c70f8b095_SiteId">
    <vt:lpwstr>cffa6640-7572-4f05-9c64-cd88068c19d4</vt:lpwstr>
  </property>
  <property fmtid="{D5CDD505-2E9C-101B-9397-08002B2CF9AE}" pid="7" name="MSIP_Label_66d8a90e-c522-4829-9625-db8c70f8b095_ActionId">
    <vt:lpwstr>7a7d55fe-30c6-45bf-ae89-05a21a044e4a</vt:lpwstr>
  </property>
  <property fmtid="{D5CDD505-2E9C-101B-9397-08002B2CF9AE}" pid="8" name="MSIP_Label_66d8a90e-c522-4829-9625-db8c70f8b095_ContentBits">
    <vt:lpwstr>0</vt:lpwstr>
  </property>
  <property fmtid="{D5CDD505-2E9C-101B-9397-08002B2CF9AE}" pid="9" name="ContentTypeId">
    <vt:lpwstr>0x01010080FA340799C91E4388329C1B20D46549</vt:lpwstr>
  </property>
  <property fmtid="{D5CDD505-2E9C-101B-9397-08002B2CF9AE}" pid="10" name="MediaServiceImageTags">
    <vt:lpwstr/>
  </property>
  <property fmtid="{D5CDD505-2E9C-101B-9397-08002B2CF9AE}" pid="11" name="Order">
    <vt:r8>3582800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